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PM17.005651 vom 1. Oktober 2018</w:t>
      </w:r>
    </w:p>
    <w:p>
      <w:r>
        <w:t>VD Tribunal cantonal, 2018-10-01, FR</w:t>
      </w:r>
    </w:p>
    <w:p>
      <w:r>
        <w:rPr>
          <w:b/>
        </w:rPr>
        <w:t xml:space="preserve">Quelle: </w:t>
      </w:r>
      <w:r>
        <w:t>https://mcp.opencaselaw.ch/entscheid/vd_gerichte_PM17.005651</w:t>
      </w:r>
    </w:p>
    <w:p>
      <w:r>
        <w:t>FR: VD_GERICHTE PM17.005651 du 1 octobre 2018</w:t>
      </w:r>
    </w:p>
    <w:p>
      <w:r>
        <w:t>IT: VD_GERICHTE PM17.005651 del 1 ottobre 2018</w:t>
      </w:r>
    </w:p>
    <w:p>
      <w:pPr>
        <w:pStyle w:val="Heading2"/>
      </w:pPr>
      <w:r>
        <w:t>Erwägungen</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 RSV 312.03.1]), seront mis à la charge du recourant, qui succombe (art. 428 al. 1 CPP ; art. 44 al. 2 PPMin). Par ces motifs, la Chambre des recours pénale prononce : I. Le recours est rejeté. II. L’ordonnance du 4 juin 2018 est confirmée. III. Les frais d'arrêt, par 550 fr. (cinq cent cinquante francs), sont mis à la charge du recourant. IV. L’arrêt est exécutoire. Le président : La greffière :</w:t>
      </w:r>
    </w:p>
    <w:p>
      <w:r>
        <w:t>- 12 - Du Le présent arrêt, dont la rédaction a été approuvée à huis clos, est notifié, par l'envoi d'une copie complète, à : - Me Inès Feldmann, avocate (pour A.I.________), - Me Nadia Calabria, avocate (pour N.________), - Ministère public central, et communiqué à : ‑ M. le Président du Tribunal des mineurs, - M. le Procureur du Ministère public central, division affaires spéciales,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