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PM16.014349 vom 30. Juni 2017</w:t>
      </w:r>
    </w:p>
    <w:p>
      <w:r>
        <w:t>VD Tribunal cantonal, 2017-06-30, FR</w:t>
      </w:r>
    </w:p>
    <w:p>
      <w:r>
        <w:rPr>
          <w:b/>
        </w:rPr>
        <w:t xml:space="preserve">Quelle: </w:t>
      </w:r>
      <w:r>
        <w:t>https://mcp.opencaselaw.ch/entscheid/vd_gerichte_PM16.014349</w:t>
      </w:r>
    </w:p>
    <w:p>
      <w:r>
        <w:t>FR: VD_GERICHTE PM16.014349 du 30 juin 2017</w:t>
      </w:r>
    </w:p>
    <w:p>
      <w:r>
        <w:t>IT: VD_GERICHTE PM16.014349 del 30 giugno 2017</w:t>
      </w:r>
    </w:p>
    <w:p>
      <w:pPr>
        <w:pStyle w:val="Heading2"/>
      </w:pPr>
      <w:r>
        <w:t>Erwägungen</w:t>
      </w:r>
    </w:p>
    <w:p>
      <w:r>
        <w:rPr>
          <w:b/>
        </w:rPr>
        <w:t>E. 1</w:t>
      </w:r>
    </w:p>
    <w:p>
      <w:r>
        <w:t>Z.________ est né le [...] 1998. Il vit actuellement à [...], avec sa mère et son beau-père. Il n’a jamais connu son père biologique. Le prévenu a été suivi par le Service de protection de la jeunesse jusqu’en 2012. Après l’école primaire, il a été scolarisé dans des écoles privées lausannoises jusqu’en 8e année, et a obtenu une attestation de fin de scolarité en juin 2014. Début 2016, l’intéressé a fait la connaissance d’E.________, née le [...] 1998, résidente en France, sur Facebook via un groupe nationaliste tunisien. Le couple s’est marié religieusement en avril 2016 dans une mosquée à [...], en France. Z.________ a expliqué aux débats de première instance avoir poursuivi sa relation avec E.________, laquelle attendait une petite fille pour le mois d’août 2017.</w:t>
      </w:r>
    </w:p>
    <w:p>
      <w:r>
        <w:t>- 4 - Une éducatrice du Tribunal des mineurs est intervenue une première fois ensuite de l’inactivité du prévenu et sur demande sa mère. Son intervention s’est terminée à la fin des démarches et en raison de l’absence de demande d’aide de la part de l’intéressé. Le 2 septembre 2016, ensuite du placement en détention provisoire de l’intéressé, la présidente du Tribunal des mineurs a ordonné une nouvelle mesure d’assistance personnelle à titre provisionnel en faveur du prévenu. Dès le 1er novembre 2016, un traitement ambulatoire a été mis en place et le mandat a été confié à un psychothérapeute du Centre médical de Renens, pour une durée indéterminée. A sa libération de la détention provisoire, le 28 octobre 2016, Z.________ a débuté l’école JEUNCOMM, à Lausanne, afin de se préparer à l’apprentissage par une reprise des notions scolaires. Souhaitant trouver une place d’apprentissage d’électricien, le prévenu a notamment effectué un stage auprès de l’entreprise [...], à Etoy, du 13 au 17 février 2017. Cette première expérience pouvant déboucher sur la conclusion d’un contrat d’apprentissage pour août 2017, le prévenu, de sa propre initiative, a mis fin à sa formation auprès de JEUNCOMM le 7 mars 2017 pour commencer un pré-apprentissage au sein de cette entreprise dès le 3 avril 2017. Il devait commencer son apprentissage de monteur-électricien le 15 août 2017. Son casier judiciaire ne comporte aucune inscription. Il a toutefois déjà été condamné à plusieurs reprises par le Tribunal des mineurs : - le 10 août 2012 pour contravention à la loi fédérale sur les chemins de fer à une réprimande ; - le 24 avril 2014 pour extorsion à six demi-journées de prestations personnelles à exécuter sous forme de travail, dont deux avec sursis pendant un an ; - le 9 octobre 2015 pour voies de fait à six demi-journées de prestations personnelles à exécuter sous forme de travail ;</w:t>
      </w:r>
    </w:p>
    <w:p>
      <w:r>
        <w:t>- 5 - - le 27 juin 2016 pour voies de fait et injure à une amende de 400 fr. ; - le 12 avril 2017 pour vol, brigandage, injure, menaces, infraction à la loi fédérale sur les armes, les accessoires d’armes et les munitions, vol d’usage d’un véhicule automobile et conduite d’un véhicule automobile sans être titulaire du permis de conduire requis, à un mois de privation de liberté, avec sursis pendant un an. Pour les besoins de l’enquête, Z.________ a été placé en détention provisoire à l’Etablissement de détention pour mineurs « Aux Léchaires » du 29 juillet au 28 octobre 2016, soit pendant 92 jours.</w:t>
      </w:r>
    </w:p>
    <w:p>
      <w:r>
        <w:rPr>
          <w:b/>
        </w:rPr>
        <w:t>E. 1.1</w:t>
      </w:r>
    </w:p>
    <w:p>
      <w:r>
        <w:t>Interjeté dans les formes et délais légaux par une partie ayant qualité pour recourir contre le jugement du tribunal de première instance qui a clos la procédure (art. 398 al. 1 CPP), l’appel de Z.________ est recevable.</w:t>
      </w:r>
    </w:p>
    <w:p>
      <w:r>
        <w:rPr>
          <w:b/>
        </w:rPr>
        <w:t>E. 1.2</w:t>
      </w:r>
    </w:p>
    <w:p>
      <w:r>
        <w:t>Les moyens soulevés étant fondés exclusivement sur la violation du droit et sur l'excès du pouvoir d'appréciation et tendant à la suppression de deux règles de conduite, la Cour de céans peut traiter l’appel en procédure écrite (art. 406 al. 1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t>- 7 -</w:t>
      </w:r>
    </w:p>
    <w:p>
      <w:r>
        <w:rPr>
          <w:b/>
        </w:rPr>
        <w:t>E. 3.1</w:t>
      </w:r>
    </w:p>
    <w:p>
      <w:r>
        <w:t>L'appelant invoque une violation des art. 29 et 35 DPMin ainsi que l'excès du pouvoir d'appréciation. Il soutient que les règles de conduite contestées auraient essentiellement un caractère punitif et seraient donc prohibées par la jurisprudence du Tribunal fédéral. En outre, l'appelant aurait donné suite à toutes les règles qui lui avaient été imposées durant l'enquête, de sorte que les prolonger au-delà du jugement serait totalement injustifié.</w:t>
      </w:r>
    </w:p>
    <w:p>
      <w:r>
        <w:rPr>
          <w:b/>
        </w:rPr>
        <w:t>E. 3.2</w:t>
      </w:r>
    </w:p>
    <w:p>
      <w:r>
        <w:t>Les règles de conduites assortissant le sursis sont traitées à l'art. 29 al. 2 DPMin par le renvoi de l'art. 35 al. 2 DPMin. La jurisprudence rendue par le Tribunal fédéral concernant les auteurs majeurs est toutefois applicable, en raison de l'aspect éducatif assigné à la règle de conduite.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(TF 6B_626/2008 du 11 novembre 2008 consid. 6.1 ; ATF 130 IV 1 consid. 2.1 ; ATF 108 IV 152 consid. 3a ; ATF 106 IV 325 consid. 1). L'art. 94 CP donne une liste exemplative des règles de conduite. Le choix et le contenu de ces règles relèvent du pouvoir d'appréciation de l'autorité cantonale (ATF 130 IV 1 consid. 2.1 ; TF 6B_166/2016 du 7 juillet 2016 consid. 4.2). S'il s'agit de la réparation du dommage, le juge doit faire en sorte que le condamné connaisse le montant exact et l'échéance des acomptes exigés de lui. Le juge doit en outre examiner les possibilités financières du condamné pour déterminer si son disponible mensuel lui permettra de respecter la mesure qui lui a été imposée. Les acomptes doivent être fixés d'après la situation économique et personnelle du condamné (ATF 130 IV 1 consid. 2.1 ; TF 6B_142/2016 du 14 décembre 2016 consid. 8.1 et les réf. citées).</w:t>
      </w:r>
    </w:p>
    <w:p>
      <w:r>
        <w:t>- 8 - Par exemple, il est tout à fait admissible d'interdire, au titre d'une règle de conduite, une activité professionnelle, si celle-ci n'est pas compatible avec le but du sursis et ce qu'elle soit ou non soumise à une autorisation officielle. Il a été ainsi jugé que la règle de conduite imposant à celui qui est condamné pour avoir fait commerce d'objets obscènes (art. 204 aCP) de s'abstenir pendant le délai d'épreuve d'exploiter ou de faire exploiter pour lui une affaire d'articles d'ordre sexuel ne violait pas le droit fédéral (ATF 105 IV 289). De même, en matière de libération conditionnelle, la règle de conduite (art. 38 ch. 3 aCP) imposant, durant le délai d'épreuve, au détenu libéré conditionnellement de soumettre sa correspondance commerciale au patronage a été considérée comme étant licite (ATF 107 IV 88). Cependant, le juge ne pourra ordonner qu'avec retenue des règles de conduite limitant l'activité professionnelle du condamné, dès lors que celles-ci sont propres à entraver ses possibilités de gain. Le choix de la règle de conduite trouve sa limite dans l'interdiction de l'arbitraire ainsi que dans l'interdiction de poursuivre un but étranger à l'institution du sursis. Il sera ainsi inadmissible d'interdire, comme règle de conduite, une profession, en vue de punir le condamné ou de protéger la collectivité publique (RSJ 43/1947 n. 121, p. 255). Au demeurant,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w:t>
      </w:r>
    </w:p>
    <w:p>
      <w:r>
        <w:rPr>
          <w:b/>
        </w:rPr>
        <w:t>E. 3.3</w:t>
      </w:r>
    </w:p>
    <w:p>
      <w:r>
        <w:t>La première règle de conduite contestée par l'appelant concerne la demande formelle et détaillée qu'il doit présenter au Tribunal des mineurs pour disposer de ses documents d'identité avant tout séjour à l'étranger. Cette condition est strictement liée au risque de récidive d'un projet de soutien armé à une organisation criminelle à l'étranger. Les premiers juges ont considéré que les règles de conduite avaient pour objectif d'une part de contrôler les activités du prévenu pendant le délai d'épreuve et d'autre part de lui faire prendre conscience de la gravité de son ralliement à l'idéologie de l'Etat islamique. Il y a donc bien l'idée</w:t>
      </w:r>
    </w:p>
    <w:p>
      <w:r>
        <w:t>- 9 - également d'un effet éducatif. Les premiers juges ont d'ailleurs relevé la fragilité identitaire du prévenu avec des mécanismes de défenses projectifs encore existants, à tel point que ni l'éducateur, ni le psychothérapeute qui suivent l'appelant ne peuvent attester d'un réel changement par rapport à ses idées extrémistes (jugt., p. 7). La règle de conduite est donc bien destinée à réduire le risque de récidive et à exercer un effet éducatif mais vise également un objectif sécuritaire. Contrairement à ce que soutient l'appelant, il ne s'agit pas d'une règle destinée à prévenir le risque de fuite, qui aurait un caractère punitif, car il conserve la possibilité de se rendre à l'étranger, pourvu qu'il présente un projet détaillé et motivé. Prévue pour une durée de deux ans et permettant à l'appelant de se déplacer en dehors du territoire suisse à condition d'informer complétement l'autorité de son motif de voyage, la règle contestée respecte en définitive le principe de proportionnalité. La seconde règle de conduite contestée par l'appelant concerne l'obligation de se présenter régulièrement à un service administratif, soit à un poste de gendarmerie une fois par semaine pendant les heures d'ouverture. Comme la règle précédente, cette exigence comporte un double aspect préventif et éducatif. Le passage hebdomadaire attestera, comme l'ont retenu les premiers juges, d'une présence régulière et fiable de l'appelant dans le cadre de vie assigné durant le délai d'épreuve. Cette règle est ainsi étroitement liée à celle de l'obligation d'avoir une activité, que l'appelant ne conteste au demeurant pas. Elle permet d'exercer un effet de contention par le rapport régulier à l'autorité qu'implique un passage hebdomadaire au poste de gendarmerie. Elle respecte donc l'impératif de prévention et d'éducation. Conçue pour deux ans, elle respecte le principe de proportionnalité. Il convient donc de confirmer les deux règles de conduite instaurées par les premiers juges.</w:t>
      </w:r>
    </w:p>
    <w:p>
      <w:r>
        <w:rPr>
          <w:b/>
        </w:rPr>
        <w:t>E. 4</w:t>
      </w:r>
    </w:p>
    <w:p>
      <w:r>
        <w:t>Il résulte de ce qui précède que l’appel de Z.________ doit être rejeté et le jugement attaqué entièrement confirmé.</w:t>
      </w:r>
    </w:p>
    <w:p>
      <w:r>
        <w:t>- 10 - Vu l’issue de la cause, les frais d’appel, comprenant l’émolument du présent arrêt, par 605 fr. (art. 21 al. 1 et 3 TFIP [Tarif des frais de procédure et indemnités en matière pénale du 28 septembre 2010 ; RSV 312.03.1]), ainsi que celui du prononcé rendu le 13 juillet 2017 par le Président de céans, par 315 fr., et l’indemnité allouée au défenseur d’office de l’appelant (art. 422 al. 1 et 2 let. a CPP), seront mis à la charge de Z.________, qui succombe (art. 428 al. 1 CPP). Il sera précisé que le prononcé rendu le 13 juillet 2017 par le Président de céans contient une erreur de calcul au chiffre III de son dispositif en ce sens que les frais de la décision s’élèvent à 315 fr. et non à 630 francs (art. 21 al. 3 TFIP). La liste des opérations produite le 2 novembre 2017 par Me Rachid Hussein, défenseur d’office de l’appelant, fait état de 15,5 heures d’activité d’avocat et de 86 fr. 90 de débours. Au vu de la connaissance du dossier acquise en première instance et du mémoire d’appel, le montant annoncé par l’avocat breveté est excessif. Il y a lieu de retenir 2 heures pour les entretiens et les téléphones avec le client au lieu des 3,6 heures requises, cette durée étant suffisante au bon accomplissement du mandat. Les courriels au client des 6, 13 et 21 juillet, 29 août, 21 septembre et 2 octobre 2017, totalisant 0,7 heures, seront retranchés dans la mesure où il s’agit de mémos qui sont du travail de secrétariat. Le téléphone d’un tiers du 11 septembre 2017, de 0,2 heures, sans rapport avec la procédure d’appel, sera également retranché. Ainsi, 2,5 heures seront déduites. Les débours seront indemnisés à hauteur de 50 francs. L’indemnité allouée au défenseur d’office de Z.________ pour la procédure d’appel doit être dès lors être arrêtée à 2’340 fr. (13 heures x 180 fr.), plus les débours par 50 fr., plus la TVA par 191 fr. 20, soit 2'581 fr. 20 au total.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