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PM15.024521 vom 18. August 2016</w:t>
      </w:r>
    </w:p>
    <w:p>
      <w:r>
        <w:t>VD Tribunal cantonal, 2016-08-18, FR</w:t>
      </w:r>
    </w:p>
    <w:p>
      <w:r>
        <w:rPr>
          <w:b/>
        </w:rPr>
        <w:t xml:space="preserve">Quelle: </w:t>
      </w:r>
      <w:r>
        <w:t>https://mcp.opencaselaw.ch/entscheid/vd_gerichte_PM15.024521</w:t>
      </w:r>
    </w:p>
    <w:p>
      <w:r>
        <w:t>FR: VD_GERICHTE PM15.024521 du 18 août 2016</w:t>
      </w:r>
    </w:p>
    <w:p>
      <w:r>
        <w:t>IT: VD_GERICHTE PM15.024521 del 18 agosto 2016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Vérifiée d’office, la peine prononcée ferme de deux demi- journées de prestations personnelles à effectuer sous forme de travail ainsi que l’amende de 250 fr. infligée pour réprimer les dommages à la propriété et la contravention à la LStup commis par l’appelant sont adéquates et doivent être confirmées.</w:t>
      </w:r>
    </w:p>
    <w:p>
      <w:r>
        <w:rPr>
          <w:b/>
        </w:rPr>
        <w:t>E. 5</w:t>
      </w:r>
    </w:p>
    <w:p>
      <w:r>
        <w:t>En définitive, l’appel d’A.________ doit être rejeté et le jugement attaqué confirmé.</w:t>
      </w:r>
    </w:p>
    <w:p>
      <w:r>
        <w:t>- 10 - Vu l’issue de la cause, les frais de la procédure d’appel, constitués en l’espèce de l’émolument du jugement, par 495 fr. (art. 21 al. 1 à 3 TFIP [Tarif des frais de procédure et indemnités en matière pénale du 28 septembre 2010 ; RSV 312.03.1]), doivent être mis à la charge de l’appelant, qui succombe (art. 428 al. 1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