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PM11.006589 vom 22. Januar 2013</w:t>
      </w:r>
    </w:p>
    <w:p>
      <w:r>
        <w:t>VD Tribunal cantonal, 2013-01-22, FR</w:t>
      </w:r>
    </w:p>
    <w:p>
      <w:r>
        <w:rPr>
          <w:b/>
        </w:rPr>
        <w:t xml:space="preserve">Quelle: </w:t>
      </w:r>
      <w:r>
        <w:t>https://mcp.opencaselaw.ch/entscheid/vd_gerichte_PM11.006589</w:t>
      </w:r>
    </w:p>
    <w:p>
      <w:r>
        <w:t>FR: VD_GERICHTE PM11.006589 du 22 janvier 2013</w:t>
      </w:r>
    </w:p>
    <w:p>
      <w:r>
        <w:t>IT: VD_GERICHTE PM11.006589 del 22 gennaio 2013</w:t>
      </w:r>
    </w:p>
    <w:p>
      <w:pPr>
        <w:pStyle w:val="Heading2"/>
      </w:pPr>
      <w:r>
        <w:t>Erwägungen</w:t>
      </w:r>
    </w:p>
    <w:p>
      <w:r>
        <w:rPr>
          <w:b/>
        </w:rPr>
        <w:t>E. 1</w:t>
      </w:r>
    </w:p>
    <w:p>
      <w:r>
        <w:t>Aux termes de l’art. 393 al. 1 let. b CPP (par renvoi des art. 38 al. 1 et 39 al. 1 et 3 PPMin),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 prozessordnung, Bâle 2011, n. 16 ad art. 368 CPP et n. 1 ad art. 369 CPP ; Jeremy Stephenson/Gilbert Thiriet, in: Niggli/Heer/Wiprächtiger (éd.), Basler Kommentar, Schweizerische Strafprozessordnung, Jugendstrafprozessordnung, Bâle 2011, n. 12 ad art. 393 CPP ; Sarah</w:t>
      </w:r>
    </w:p>
    <w:p>
      <w:r>
        <w:t>- 4 -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(cf.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fait d’abord valoir qu’il n’aurait été entendu qu’une seule fois par la police et jamais par le Président du Tribunal des mineurs. Il expose également que le dossier serait incomplet, sa situation personnelle n’ayant pas été actualisée. b) Aux termes de l’art. 36 PPMin, la procédure par défaut n’est possible qu’aux conditions suivantes: le prévenu mineur ne se présente pas aux débats malgré deux citations (a); il a été interrogé par l’autorité d’instruction (b); les preuves réunies permettent de rendre un jugement en son absence (c); seule une peine est envisagée (d). c) Il est douteux qu’un condamné par défaut puisse, dans le cadre d’un recours dirigé contre un prononcé rejetant une demande de nouveau jugement, faire valoir que les conditions d’un jugement par défaut selon l’art 36 PPMin (respectivement, pour la procédure applicable aux majeurs, selon l’art. 366 CPP) n’étaient pas réunies (cf. CREP 5 juillet 2012/388 c. 2b). La question peut toutefois demeurer indécise dès lors que les griefs du recourant se révèlent de toute manière mal fondés pour les motifs exposés ci-après.</w:t>
      </w:r>
    </w:p>
    <w:p>
      <w:r>
        <w:t>- 5 - d) L’autorité d’instruction au sens de l’art. 36 al. 1 let. b PPMin est un magistrat (Rapport additionnel concernant le commentaire des modifications apportées au projet du Conseil fédéral de procédure pénale applicable aux mineurs (PPMin) du 21 décembre 2005, ch. 2.1.2.1). W.________ a été auditionné par le Président du Tribunal des mineurs (PV 404, du 3 mai 2011). Il a par conséquent été entendu par l’autorité d’instruction au sens de l’art. 36 al. 1 let. b PPMin. Il a également été entendu par la police (PV 403, du 3 mai 2011, PV 406, du 9 mai 2011). De nombreuses autres auditions ont également eu lieu. Sa situation personnelle était par conséquent connue de l’autorité de jugement. Au demeurant, la Chambre des recours pénale constate que le recourant n’indique pas dans quelle mesure le fait que sa situation personnelle n’ait pas été actualisée aurait influé sur le jugement rendu.</w:t>
      </w:r>
    </w:p>
    <w:p>
      <w:r>
        <w:rPr>
          <w:b/>
        </w:rPr>
        <w:t>E. 3</w:t>
      </w:r>
    </w:p>
    <w:p>
      <w:r>
        <w:t>a) Le recourant soutient ensuite qu’il aurait présenté une excuse valable pour expliquer son absence aux débats du 22 janvier 2013. b) L’art. 368 CPP, relatif à la demande de nouveau jugement et applicable par renvoi de l’art. 3 PPMin (Message relatif à l’unification du droit de la procédure pénale, p. 1354),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w:t>
      </w:r>
    </w:p>
    <w:p>
      <w:r>
        <w:t>- 6 -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c)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w:t>
      </w:r>
    </w:p>
    <w:p>
      <w:r>
        <w:t>- 7 - d) En l’espèce, W.________ ne pouvait pas ignorer, contrairement à ce qu’il soutient, qu’il devait rester à la disposition de la justice. Le 2 mai 2011, il a signé un formulaire indiquant ses droits et obligations. Ce formulaire comportait notamment la mention suivante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Entendu par la police municipale de Lausanne le 3 mai 2013 (PV aud. 403) en présence d’une interprète en langue roumaine, W.________ a déclaré avoir compris ses droits et obligations figurant sur le formulaire précité (PV aud. 403 du 3 mai 2013, R. 4, p. 2). De plus, W.________ a déjà été condamné à trois reprises en Suisse (Jugement du Tribunal des mineurs du 22 janvier 2013, ch. 5, p. 5) et pouvait dès lors s’attendre à être convoqué, notamment pour des débats. Il pouvait en tout temps prendre contact avec son avocat d’office afin de se renseigner sur l’avancement de la procédure, ce qu’il n’a pas fait. En conséquence, W.________ ne pouvait ignorer qu’il devait rester à la disposition de la justice suisse ou, à tout le moins, qu’il devait se renseigner auprès de son conseil pour connaître l’état d’avancement de la procédure instruite à son encontre. Au vu de l’ensemble des considérations qui précèdent, c’est à bon droit que le Tribunal des mineurs a rejeté la demande de nouveau jugement de W.________.</w:t>
      </w:r>
    </w:p>
    <w:p>
      <w:r>
        <w:rPr>
          <w:b/>
        </w:rPr>
        <w:t>E. 4</w:t>
      </w:r>
    </w:p>
    <w:p>
      <w:r>
        <w:t>En définitive, le recours, manifestement mal fondé, doit être rejeté sans autre échange d’écritures (art. 390 al. 2 CPP) et la décision confirmée. Les frais de la procédure de recours, constitués en l’espèce de l'émolument d'arrêt (art. 422 al. 1 CPP), par 440 fr. (art. 20 al. 1 et 2 TFJP</w:t>
      </w:r>
    </w:p>
    <w:p>
      <w:r>
        <w:t>- 8 -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6 septembre 2013 est confirmée. III. L’indemnité allouée au défenseur d’office de W.________ est fixée à 486 fr. (quatre cent huitante-six francs), TVA comprise. IV. Les frais du présent arrêt, par 440 fr. (quatre cent quarante francs), ainsi que l’indemnité due au défenseur d’office de W.________, par 486 fr. (quatre cent huitante-six francs), sont mis à la charge de ce dernier. V. Le remboursement à l’Etat de l’indemnité allouée au chiffre III ci-dessus sera exigible pour autant que la situation économique de W.________ se soit améliorée. VI. Le présent arrêt est exécutoire. Le vice-président : La greffière :</w:t>
      </w:r>
    </w:p>
    <w:p>
      <w:r>
        <w:t>- 9 - Du L'arrêt qui précède, dont la rédaction a été approuvée à huis clos, est notifié, par l'envoi d'une copie complète, à : - Me Alain Vuithier, avocat (pour W.________), - Ministère public central, et communiqué à : - Mme la Présidente du Tribunal des mineurs, - M. le Procureur du Ministère public central,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