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PL09.043822 vom 11. März 2014</w:t>
      </w:r>
    </w:p>
    <w:p>
      <w:r>
        <w:t>VD Tribunal cantonal, 2014-03-11, FR</w:t>
      </w:r>
    </w:p>
    <w:p>
      <w:r>
        <w:rPr>
          <w:b/>
        </w:rPr>
        <w:t xml:space="preserve">Quelle: </w:t>
      </w:r>
      <w:r>
        <w:t>https://mcp.opencaselaw.ch/entscheid/vd_gerichte_PL09.043822</w:t>
      </w:r>
    </w:p>
    <w:p>
      <w:r>
        <w:t>FR: VD_GERICHTE PL09.043822 du 11 mars 2014</w:t>
      </w:r>
    </w:p>
    <w:p>
      <w:r>
        <w:t>IT: VD_GERICHTE PL09.043822 del 11 marzo 2014</w:t>
      </w:r>
    </w:p>
    <w:p>
      <w:pPr>
        <w:pStyle w:val="Heading2"/>
      </w:pPr>
      <w:r>
        <w:t>Erwägungen</w:t>
      </w:r>
    </w:p>
    <w:p>
      <w:r>
        <w:rPr>
          <w:b/>
        </w:rPr>
        <w:t>E. 1</w:t>
      </w:r>
    </w:p>
    <w:p>
      <w:r>
        <w:t>Le recours est dirigé contre une décision de la justice de paix nommant M.________ en qualité de curateur au sens de l’art. 395 al. 1 CC de A.J.________.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w:t>
      </w:r>
    </w:p>
    <w:p>
      <w:r>
        <w:t>- 6 -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le recours, motivé et interjeté en temps utile par le curateur désigné, est recevable. Il en va de même des autres écritures déposées en deuxième instance. Interpellée conformément à l’art. 450d CC, la juge de paix a renoncé à se déterminer et a déclaré se référer, pour le surplus, à la décision incriminée.</w:t>
      </w:r>
    </w:p>
    <w:p>
      <w:r>
        <w:rPr>
          <w:b/>
        </w:rPr>
        <w:t>E. 2</w:t>
      </w:r>
    </w:p>
    <w:p>
      <w:r>
        <w:t>a) Le recourant refuse sa désignation comme curateur, faisant valoir qu’il a déjà la charge d’une autre curatelle. b)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w:t>
      </w:r>
    </w:p>
    <w:p>
      <w:r>
        <w:t>- 7 -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 sous réserve de justes motifs » (Message, FF 2006 p. 6683 ;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Il ressort du Message que de « lourdes charges professionnelles ou familiales existantes ou imminentes ou encore l’exercice de fonctions publiques » peuvent notamment constituer de justes motifs au sens de l’art. 400 al. 2 CC (FF 2006 p. 6683). Selon le rapport de la Commission d’experts pour la révision totale du droit de la tutelle et la doctrine,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op. cit., n. 48 ad art. 400 CC, p. 294 : « so dass die Übernahme des Amtes nicht zumutbar ist » ; CCUR, 22 février 2013/29).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 temps nécessaire » au sens de l’art. 400 al. 1 CC dont le curateur doit disposer pour accomplir les tâches qui lui seront confiées.</w:t>
      </w:r>
    </w:p>
    <w:p>
      <w:r>
        <w:t>- 8 - bb)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En vertu de l’art. 40 al. 2 LVPAE, un curateur privé ne peut être nommé « qu’après s’être vu proposer une formation de base gratuite » (TF 5A_691/2013 du 14 janvier 2014 c. 2.3.2 et réf. citées).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w:t>
      </w:r>
    </w:p>
    <w:p>
      <w:r>
        <w:t>- 9 - 1966 [CPC-VD], décembre 2010, n° 361, ch. 5.1, commentaire introductif ad art. 97a al. 2 LVCC, p. 10, auquel renvoie l'EMPL de la loi vaudoise d'application du droit fédéral de la protection de l'adulte et de l'enfant, novembre 2011, no 441, p. 109). L'utilisation des termes « en principe » tant à l'alinéa 1 qu'à l'alinéa 4 de l'art. 40 LVPAE témoigne de la volonté du législateur de laisser une marge d'appréciation à l'autorité de protection quant à la distinction entre les cas simples et les cas lourds. c) En l’espèce, le recourant invoque administrer déjà une autre curatelle et souligne que son engagement pour la collectivité est déjà très important et qu’il se fait au détriment du temps passé auprès de sa famille. ca) Le fait d’avoir en charge une autre curatelle ne peut constituer en soi un critère déterminant de renonciation à la nomination d’un tiers comme curateur. Cet élément, ajouté à celui d’avoir une famille peut toutefois influer sur la question de savoir si le curateur désigné disposera de suffisamment de temps pour se consacrer à l’administration d’une deuxième curatelle. La question de la disponibilité du recourant de manière à ce qu’il puisse assumer correctement le mandat confié aurait donc dû être examinée par l’autorité de protection. De même, les éléments au dossier ne permettent pas de déterminer la profession du recourant ni s’il possède les aptitudes que nécessite l’exercice de la charge confiée. L’on ignore aussi si l’intéressé s’est vu offrir une formation de base gratuite, comme le prescrit l’art. 40 LVPAE. La désignation du curateur s’inscrivant dans le but des mesures de curatelle, qui est de garantir l’assistance et la protection de la personne ayant besoin d’aide (art. 388 al.1 CC), l’autorité de première instance saisie devait vérifier d’office, selon les préceptes de la jurisprudence fédérale, si le profil du curateur correspondait aux différents critères définis par la loi pour assurer le bon fonctionnement d’une curatelle (cf. TF 5A_699/2013 du 29 novembre 2013, c. 4.2). Dans le cas présent, ces différents points n’ont pas été examinés. Cependant, comme la curatelle litigieuse doit être</w:t>
      </w:r>
    </w:p>
    <w:p>
      <w:r>
        <w:t>- 10 - confiée, pour les motifs figurant ci-après, à un curateur professionnel, ils n’ont pas lieu d’être examinés. cb) A.J.________ a été mise au bénéfice d’une curatelle de gestion pour, en substance, l’aider dans son quotidien. Cette curatelle ne parait pas comporter, a priori, de difficultés particulières. Toutefois, à la faveur d’un examen plus approfondi du dossier, on se rend compte que la situation de l’intéressée est plus complexe qu’elle n’apparaît. En effet, A.J.________ est issue d’une famille ayant connu de lourdes épreuves. Sa mère, B.J.________, a dû se battre contre une maladie grave, qui a plusieurs fois failli l’emporter. En dépit de son courage et de sa ténacité, B.J.________ a dû être hospitalisée, à plusieurs reprises, pour des états dépressifs et des tentamens médicamenteux. Ce contexte de vie difficile, ajouté à la responsabilité de deux enfants, l’ont considérablement éprouvée et ont nécessité de multiples interventions de médecins et des services sociaux. Son fils et sa fille, A.J.________, qui est séropositive, ont également vu leur équilibre sérieusement menacé par cette situation. Au fil des années, les conditions d’existence des divers protagonistes s’étant péjorées, elles ont nécessité un placement sous tutelle. Les mesures tutélaires instaurées ont été confiées aux services de l’Office du Tuteur général. Dès sa majorité, en 2009, A.J.________ a fait l’objet d’une curatelle volontaire pour disposer d’un soutien dans sa vie sociale, personnelle et financière. Les collaborateurs de l’Office du Tuteur général en charge de son dossier ont approuvé cette mesure. En 2012, la curatrice C.________ a requis le réexamen de la situation de A.J.________. En substance et à réitérées reprises, elle a indiqué ne plus pouvoir exercer le mandat confié en raison du manque de collaboration de l’intéressée, qui ne lui transmettait pas ses factures, faisait défaut aux rendez-vous médicaux fixés – notamment à celui qui avait été prévu en vue de procéder à l’expertise psychiatrique que nécessitait l’examen de l’obtention d’une rente d’invalidité – ne donnait plus de ses nouvelles et était demeurée injoignable durant des mois. Le suivi de ses affaires courantes s’en trouvait ainsi gravement compromis.</w:t>
      </w:r>
    </w:p>
    <w:p>
      <w:r>
        <w:t>- 11 - Il résulte des éléments décrits que la situation de A.J.________ comporte des aspects difficiles et complexes. Ces aspects ne permettent pas de confier la curatelle à une personne ne disposant pas d’une formation spécialisée. La mesure de protection instaurée requérant des aptitudes plus spécifiques, il convient donc de la laisser à la charge de l’assistante sociale de l’OCTP, C.________, qui est plus à même d’en assurer l’exercice.</w:t>
      </w:r>
    </w:p>
    <w:p>
      <w:r>
        <w:rPr>
          <w:b/>
        </w:rPr>
        <w:t>E. 3</w:t>
      </w:r>
    </w:p>
    <w:p>
      <w:r>
        <w:t>En conclusion, le recours doit être admis et la décision réformée aux chiffres II et III de son dispositif en ce sens qu’une curatelle de gestion au sens de l’art. 395 al. 1 CC est instituée en faveur de A.J.________ (II), que C.________ de l’OCTP est confirmée dans son mandat de curatrice (III), et que les chiffres IV et V du dispositif sont supprimés, la décision étant confirmée pour le surplus. Le présent arrêt est rendu sans frais judiciaires (art. 74a al. 4 TFJC [Tarif du 28 septembre 2010 des frais judiciaires civils, RSV 270.11.5]). Par ces motifs, la Chambre des curatelles du Tribunal cantonal, statuant à huis clos, prononce : I. Le recours est admis. II. La décision est réformée aux chiffres II, III, IV et V de son dispositif comme suit : II. institue une curatelle de gestion au sens de l’art. 395 al. 1 CC en faveur de A.J.________, née le [...] 1991, fille de feu [...]</w:t>
      </w:r>
    </w:p>
    <w:p>
      <w:r>
        <w:t>- 12 - et de [...], originaire de [...], célibataire, de nationalité suisse, domiciliée à [...], Rue de [...] ; III. confirme C.________ de l’Office des curatelles et tutelles professionnelles dans son mandat de curatrice ; IV. supprimé ; V. supprimé. La décision est confirmée pour le surplus. III. L'arrêt est rendu sans frais. IV. L’arrêt motivé est exécutoire. La présidente : La greffière : Du 11 mars 2014 Le dispositif de l'arrêt qui précède est communiqué par écrit aux intéressés. La greffière : Du</w:t>
      </w:r>
    </w:p>
    <w:p>
      <w:r>
        <w:t>- 13 - L'arrêt qui précède, dont la rédaction a été approuvée à huis clos, est notifié à : - M.________, - A.J.________, - C.________, assistante sociale à l’Office des curatelles et tutelles professionnelles (OCTP). et communiqué à : - Justice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