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PE26.006852 vom 14. April 2026</w:t>
      </w:r>
    </w:p>
    <w:p>
      <w:r>
        <w:t>VD Tribunal cantonal, 2026-04-14, FR</w:t>
      </w:r>
    </w:p>
    <w:p>
      <w:r>
        <w:rPr>
          <w:b/>
        </w:rPr>
        <w:t xml:space="preserve">Quelle: </w:t>
      </w:r>
      <w:r>
        <w:t>https://mcp.opencaselaw.ch/entscheid/vd_gerichte_PE26.006852</w:t>
      </w:r>
    </w:p>
    <w:p>
      <w:r>
        <w:t>FR: VD_GERICHTE PE26.006852 du 14 avril 2026</w:t>
      </w:r>
    </w:p>
    <w:p>
      <w:r>
        <w:t>IT: VD_GERICHTE PE26.006852 del 14 aprile 2026</w:t>
      </w:r>
    </w:p>
    <w:p>
      <w:pPr>
        <w:pStyle w:val="Heading2"/>
      </w:pPr>
      <w:r>
        <w:t>Erwägungen</w:t>
      </w:r>
    </w:p>
    <w:p>
      <w:r>
        <w:rPr>
          <w:b/>
        </w:rPr>
        <w:t>E. 7</w:t>
      </w:r>
    </w:p>
    <w:p>
      <w:r>
        <w:t>Le recourant ne conteste pas les considérants de l’autorité précitée quant à la proportionnalité de la détention et à l’absence de mesures de substitution propres à pallier les risques retenus. Ces points n’ont donc pas à être examinés par la Chambre de céans. On relèvera néanmoins que si le traitement des addictions au sens de l’art. 60 CP ordonné par jugement du 9 février 2026 était mis en place, et que l’intéressé bénéficiait d’un étayage social, notamment l’aide de l’Office d’exécution des peines, du Service de probation et de sa curatrice de représentation et de gestion, des mesures de substitution, sous la forme des accompagnements précités, pourraient être envisagées. 12J010</w:t>
      </w:r>
    </w:p>
    <w:p>
      <w:r>
        <w:t>- 15 -</w:t>
      </w:r>
    </w:p>
    <w:p>
      <w:r>
        <w:rPr>
          <w:b/>
        </w:rPr>
        <w:t>E. 8</w:t>
      </w:r>
    </w:p>
    <w:p>
      <w:r>
        <w:t>Au vu de ce qui précède, le recours, manifestement mal fondé, doit être rejeté dans la mesure de sa recevabilité, sans échange d’écritures (art. 390 al. 2 CPP) et l’ordonnance du 30 mars 2026 confirmée. Les frais de la procédure de recours, constitués du seul émolument d’arrêt (art. 422 al. 1 CPP), par 1’430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30 mars 2026 est confirmée. III. Les frais d’arrêt, par 1’430 fr. (mille quatre cent trente francs), sont mis à la charge d’E.________. IV. L’arrêt est exécutoire. La présidente : La greffière : Du Le présent arrêt, dont la rédaction a été approuvée à huis clos, est notifié, par l'envoi d'une copie complète, à : - M. E.________, - Ministère public central, et communiqué à : 12J010</w:t>
      </w:r>
    </w:p>
    <w:p>
      <w:r>
        <w:t>- 16 - - Mme la Présidente du Tribunal des mesures de contrainte, - M. le Procureur de l’arrondissement du Nord vaudois, - Me Stève Kalbermatten, avocat, - Service de la population, - Office d’exécution des peines, secteur mesures, par l’envoi de photocopies. En application de l’art. 214 al. 4 CPP, le dispositif du présent arrêt est communiqué par courrier séparé aux victimes suivantes : - Mme J.________, - M. B.________, - M. F.________, - M. C.________,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