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PE26.005065 vom 31. März 2026</w:t>
      </w:r>
    </w:p>
    <w:p>
      <w:r>
        <w:t>VD Tribunal cantonal, 2026-03-31, FR</w:t>
      </w:r>
    </w:p>
    <w:p>
      <w:r>
        <w:rPr>
          <w:b/>
        </w:rPr>
        <w:t xml:space="preserve">Quelle: </w:t>
      </w:r>
      <w:r>
        <w:t>https://mcp.opencaselaw.ch/entscheid/vd_gerichte_PE26.005065</w:t>
      </w:r>
    </w:p>
    <w:p>
      <w:r>
        <w:t>FR: VD_GERICHTE PE26.005065 du 31 mars 2026</w:t>
      </w:r>
    </w:p>
    <w:p>
      <w:r>
        <w:t>IT: VD_GERICHTE PE26.005065 del 31 marzo 2026</w:t>
      </w:r>
    </w:p>
    <w:p>
      <w:pPr>
        <w:pStyle w:val="Heading2"/>
      </w:pPr>
      <w:r>
        <w:t>Erwägungen</w:t>
      </w:r>
    </w:p>
    <w:p>
      <w:r>
        <w:rPr>
          <w:b/>
        </w:rPr>
        <w:t>E. 1.1</w:t>
      </w:r>
    </w:p>
    <w:p>
      <w:r>
        <w:t>et les réf. cit.).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consid. 1.1 ; CREP 22 novembre 2024/849 consid. 1.1 ; CREP 8 avril 2024/262 consid. 1.3). 12J080</w:t>
      </w:r>
    </w:p>
    <w:p>
      <w:r>
        <w:t>- 3 -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7B_51/2024 précité consid.</w:t>
      </w:r>
    </w:p>
    <w:p>
      <w:r>
        <w:rPr>
          <w:b/>
        </w:rPr>
        <w:t>E. 1.2</w:t>
      </w:r>
    </w:p>
    <w:p>
      <w:r>
        <w:t>Par acte 17 mars 2026, E.________ a recouru contre cette ordonnance en concluant à son annulation.</w:t>
      </w:r>
    </w:p>
    <w:p>
      <w:r>
        <w:rPr>
          <w:b/>
        </w:rPr>
        <w:t>E. 2.1</w:t>
      </w:r>
    </w:p>
    <w:p>
      <w:r>
        <w:t>Selon l’art. 388 al. 2 CPP (Code de procédure pénale suisse du</w:t>
      </w:r>
    </w:p>
    <w:p>
      <w:r>
        <w:rPr>
          <w:b/>
        </w:rPr>
        <w:t>E. 2.2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(cf. TF 7B_51/2024 du 25 avril 2024 consid. 2.2.2 ; TF 6B_1447/2022 du 14 mars 2023 consid.</w:t>
      </w:r>
    </w:p>
    <w:p>
      <w:r>
        <w:rPr>
          <w:b/>
        </w:rPr>
        <w:t>E. 2.2.2</w:t>
      </w:r>
    </w:p>
    <w:p>
      <w:r>
        <w:t>; TF 6B_1447/2022 précité consid. 1.1).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consid. 1.1).</w:t>
      </w:r>
    </w:p>
    <w:p>
      <w:r>
        <w:rPr>
          <w:b/>
        </w:rPr>
        <w:t>E. 2.3</w:t>
      </w:r>
    </w:p>
    <w:p>
      <w:r>
        <w:t>En l’espèce, dans son acte du 17 mars 2026, E.________ produit des photographies censées établir qu’il avait terminé les travaux litigieux, et se contente d’exposer qu’il conteste l’ordonnance de non-entrée en matière, ainsi que de demander son annulation afin de pouvoir continuer à agir afin d’être payé. Cet acte ne contient toutefois aucune argumentation en fait ou en droit, ni véritable conclusion en lien avec la motivation de la décision attaquée – qui retient que les faits reprochés à B.________ ont trait à l’exécution d’un contrat d’entreprise, qu’ils présentent ainsi un caractère exclusivement civil et que le message adressé à E.________ n’est objectivement pas constitutif de menaces –, qui commanderait de rendre une décision différente. Le recours se révèle donc manifestement irrecevable, ce qui doit être constaté par la Présidente de la Chambre des recours pénale statuant comme juge unique en sa qualité de direction de la procédure (art. 388 al. 2 let. b CPP), sans qu’un délai doive être fixé au recourant pour compléter son acte compte tenu de la jurisprudence rappelée ci-dessus au sujet de l’art. 385 al. 2 CPP. 3. Au vu de ce qui précède, la Présidente de la Chambre des recours pénale constate que le recours est manifestement irrecevable. 12J080</w:t>
      </w:r>
    </w:p>
    <w:p>
      <w:r>
        <w:t>- 4 - Les frais de la procédure de recours, par 360 fr. (art. 422 al. 1 CPP ; art. 20 al. 1 TFIP [tarif des frais de procédure et indemnités en matière pénale du 28 septembre 2010 ; BLV 312.03.1]), seront exceptionnellement laissés à la charge de l'Etat.</w:t>
      </w:r>
    </w:p>
    <w:p>
      <w:r>
        <w:rPr>
          <w:b/>
        </w:rPr>
        <w:t>E. 5</w:t>
      </w:r>
    </w:p>
    <w:p>
      <w:r>
        <w:t>octobre 2007 ; RS 312.0), la direction de la procédure de l’autorité de recours peut décider de ne pas entrer en matière sur les recours manifestement irrecevables (let. a), dont la motivation est manifestement insuffisante (let. b) ou encore procéduriers ou abusifs (let.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