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PE26.001409 vom 18. März 2026</w:t>
      </w:r>
    </w:p>
    <w:p>
      <w:r>
        <w:t>VD Tribunal cantonal, 2026-03-18, FR</w:t>
      </w:r>
    </w:p>
    <w:p>
      <w:r>
        <w:rPr>
          <w:b/>
        </w:rPr>
        <w:t xml:space="preserve">Quelle: </w:t>
      </w:r>
      <w:r>
        <w:t>https://mcp.opencaselaw.ch/entscheid/vd_gerichte_PE26.001409</w:t>
      </w:r>
    </w:p>
    <w:p>
      <w:r>
        <w:t>FR: VD_GERICHTE PE26.001409 du 18 mars 2026</w:t>
      </w:r>
    </w:p>
    <w:p>
      <w:r>
        <w:t>IT: VD_GERICHTE PE26.001409 del 18 marzo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29 janvier 2026, le Ministère public de l’arrondissement de Lausanne a refusé d’entrer en matière sur plusieurs plaintes déposées par Z.________ contre des magistrats, des collaborateurs de la DGEJ et d’autres personnes. 12J080</w:t>
      </w:r>
    </w:p>
    <w:p>
      <w:r>
        <w:t>- 2 -</w:t>
      </w:r>
    </w:p>
    <w:p>
      <w:r>
        <w:rPr>
          <w:b/>
        </w:rPr>
        <w:t>E. 1.2</w:t>
      </w:r>
    </w:p>
    <w:p>
      <w:r>
        <w:t>Par acte du 9 février 2026, Z.________ a recouru contre cette ordonnance en concluant à son annulation et à l’ouverture d’une instruction pénale.</w:t>
      </w:r>
    </w:p>
    <w:p>
      <w:r>
        <w:rPr>
          <w:b/>
        </w:rPr>
        <w:t>E. 1.3</w:t>
      </w:r>
    </w:p>
    <w:p>
      <w:r>
        <w:t>Par avis du 17 février 2026 envoyé sous pli recommandé, la direction de la procédure a imparti à Z.________ un délai au 9 mars 2026 pour effectuer un dépôt de 770 fr. à titre de sûretés, avec l’indication qu’à défaut de paiement en temps utile, il ne serait pas entré en matière sur son recours. Le pli contenant cet envoi a été notifié à la recourante le 25 février 2026.</w:t>
      </w:r>
    </w:p>
    <w:p>
      <w:r>
        <w:rPr>
          <w:b/>
        </w:rPr>
        <w:t>E. 1.4</w:t>
      </w:r>
    </w:p>
    <w:p>
      <w:r>
        <w:t>Le versement des sûretés n’a pas été effectué dans le délai imparti.</w:t>
      </w:r>
    </w:p>
    <w:p>
      <w:r>
        <w:rPr>
          <w:b/>
        </w:rPr>
        <w:t>E. 2.1</w:t>
      </w:r>
    </w:p>
    <w:p>
      <w:r>
        <w:t>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 12J080</w:t>
      </w:r>
    </w:p>
    <w:p>
      <w:r>
        <w:t>- 3 -</w:t>
      </w:r>
    </w:p>
    <w:p>
      <w:r>
        <w:rPr>
          <w:b/>
        </w:rPr>
        <w:t>E. 2.2</w:t>
      </w:r>
    </w:p>
    <w:p>
      <w:r>
        <w:t>La décision constatant l’irrecevabilité du recours faute de versement des sûretés requises dans le délai imparti au sens de l’art. 383 al. 2 CPP relève de la compétence de la direction de la procédure de la Chambre des recours pénale en application de l’art. 388 al. 2 let. a CPP (CREP 27 mars 2024/223).</w:t>
      </w:r>
    </w:p>
    <w:p>
      <w:r>
        <w:rPr>
          <w:b/>
        </w:rPr>
        <w:t>E. 2.3</w:t>
      </w:r>
    </w:p>
    <w:p>
      <w:r>
        <w:t>La recourante n’a pas procédé à l’avance de frais requise dans le délai fixé au 9 mars 2026. Elle n’a pas non plus – dans le même délai – demandé de restitution du délai, ni à être mise au bénéfice de l’assistance judiciaire ou à être dispensée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