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PE26.001162 vom 2. März 2026</w:t>
      </w:r>
    </w:p>
    <w:p>
      <w:r>
        <w:t>VD Tribunal cantonal, 2026-03-02, FR</w:t>
      </w:r>
    </w:p>
    <w:p>
      <w:r>
        <w:rPr>
          <w:b/>
        </w:rPr>
        <w:t xml:space="preserve">Quelle: </w:t>
      </w:r>
      <w:r>
        <w:t>https://mcp.opencaselaw.ch/entscheid/vd_gerichte_PE26.001162</w:t>
      </w:r>
    </w:p>
    <w:p>
      <w:r>
        <w:t>FR: VD_GERICHTE PE26.001162 du 2 mars 2026</w:t>
      </w:r>
    </w:p>
    <w:p>
      <w:r>
        <w:t>IT: VD_GERICHTE PE26.001162 del 2 marzo 2026</w:t>
      </w:r>
    </w:p>
    <w:p>
      <w:pPr>
        <w:pStyle w:val="Heading2"/>
      </w:pPr>
      <w:r>
        <w:t>Erwägungen</w:t>
      </w:r>
    </w:p>
    <w:p>
      <w:r>
        <w:rPr>
          <w:b/>
        </w:rPr>
        <w:t>E. 1</w:t>
      </w:r>
    </w:p>
    <w:p>
      <w:r>
        <w:t>12J010</w:t>
      </w:r>
    </w:p>
    <w:p>
      <w:r>
        <w:t>- 3 -</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l’art. 255 CPP peut faire l’objet d’un recours au sens des art. 393 ss CPP (cf. notamment CREP 20 janvier 2026/48).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auprès de l’autorité compétente par le prévenu qui a la qualité pour recourir (art. 382 CPP) et dans les formes prescrites (art. 385 al. 1 CPP), de sorte qu’il est recevable.</w:t>
      </w:r>
    </w:p>
    <w:p>
      <w:r>
        <w:rPr>
          <w:b/>
        </w:rPr>
        <w:t>E. 2.1</w:t>
      </w:r>
    </w:p>
    <w:p>
      <w:r>
        <w:t>Le recourant invoque d’abord une violation de son droit d’être entendu, faisant valoir que l’ordonnance attaquée serait insuffisamment motivée.</w:t>
      </w:r>
    </w:p>
    <w:p>
      <w:r>
        <w:rPr>
          <w:b/>
        </w:rPr>
        <w:t>E. 2.2</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12J010</w:t>
      </w:r>
    </w:p>
    <w:p>
      <w:r>
        <w:t>- 4 -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7B_662/2024 du 9 octobre 2024 consid. 3.2.2). La Chambre des recours pénale dispose d’un tel pouvoir d’examen (art. 391 al. 1 et 393 al. 2 CPP ; cf. notamment TF 7B_394/2024 du 12 juin 2024 consid. 2.2.2 et les références citées). Toutefois, une telle réparation doit rester l'exception et n'est admissible, en principe, que dans l'hypothèse d'une atteinte qui n'est pas particulièrement grave aux droits procéduraux de la partie lésée (TF 7B_662/2024 précité).</w:t>
      </w:r>
    </w:p>
    <w:p>
      <w:r>
        <w:rPr>
          <w:b/>
        </w:rPr>
        <w:t>E. 2.3</w:t>
      </w:r>
    </w:p>
    <w:p>
      <w:r>
        <w:t>En l’espèce, l’ordonnance attaquée est effectivement motivée de manière très sommaire et peu concrète, puisqu’elle se limite à indiquer que l’établissement du profil ADN contribuera à élucider un crime ou un délit, que la mesure est adéquate et qu’elle respecte le principe de proportionnalité. En particulier, le Ministère public n’explique pas en quoi l’établissement de ce profil ADN permettrait d’établir les actes reprochés au 12J010</w:t>
      </w:r>
    </w:p>
    <w:p>
      <w:r>
        <w:t>- 5 - recourant. La motivation de l’ordonnance ne permet en outre ni de comprendre en quoi la mesure serait adéquate au regard des infractions en cause, ni en quoi elle serait proportionnée. Elle ne satisfait donc pas aux exigences déduites du droit d’être entendu. Le grief est donc fondé. Pour ce motif déjà, l’ordonnance devrait en principe être annulée.</w:t>
      </w:r>
    </w:p>
    <w:p>
      <w:r>
        <w:rPr>
          <w:b/>
        </w:rPr>
        <w:t>E. 2.4</w:t>
      </w:r>
    </w:p>
    <w:p>
      <w:r>
        <w:t>Toutefois, nonobstant le grief formel déduit de la violation du droit d’être entendu, le recourant conclut à ce que la destruction du prélèvement ADN et la radiation de son profil ADN de la banque de connées CODIS soient ordonnées. Il invoque à cet égard une violation de l’art. 255 al. 1 CPP, soutenant que l’établissement de son profil ADN ne serait d’aucune utilité pour déterminer si les relations intimes qu’il a entretenues avec la plaignante étaient ou non consenties, dès lors qu’il a reconnu avoir eu de telles relations avec la plaignante, mais qu’il nie formellement l’avoir contrainte. Il s’ensuit que la Cour de céans ne peut pas faire l’économie de l’examen des griefs matériels développés par le recourant.</w:t>
      </w:r>
    </w:p>
    <w:p>
      <w:r>
        <w:rPr>
          <w:b/>
        </w:rPr>
        <w:t>E. 3.1.1</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12J010</w:t>
      </w:r>
    </w:p>
    <w:p>
      <w:r>
        <w:t>- 6 -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w:t>
      </w:r>
    </w:p>
    <w:p>
      <w:r>
        <w:rPr>
          <w:b/>
        </w:rPr>
        <w:t>E. 3.1.2</w:t>
      </w:r>
    </w:p>
    <w:p>
      <w:r>
        <w:t>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et les références citées ; TF 7B_938/2024 du 31 mars 2025, consid. 2.1.3). L’art. 257 CPP, dans sa teneur au 1er janvier 2024 (RO 2023 p. 468), quant à lui, permet l’établissement d’un profil d’ADN dans le but 12J010</w:t>
      </w:r>
    </w:p>
    <w:p>
      <w:r>
        <w:t>- 7 -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10 février 2025/53, consid. 3.2.2).</w:t>
      </w:r>
    </w:p>
    <w:p>
      <w:r>
        <w:rPr>
          <w:b/>
        </w:rPr>
        <w:t>E. 3.2.1</w:t>
      </w:r>
    </w:p>
    <w:p>
      <w:r>
        <w:t>En l’espèce, il n’apparaît pas que l’établissement du profil ADN du recourant, qui ne nie pas avoir entretenu des relations sexuelles avec la plaignante, puisse permettre d’élucider les faits qui lui sont reprochés. Faute d’aptitude à atteindre le but visé, la mesure porte dès lors une 12J010</w:t>
      </w:r>
    </w:p>
    <w:p>
      <w:r>
        <w:t>- 8 - atteinte disproportionnée à la liberté personnelle du recourant. Les griefs développés à cet égard par le recourant s’avèrent ainsi fondés.</w:t>
      </w:r>
    </w:p>
    <w:p>
      <w:r>
        <w:rPr>
          <w:b/>
        </w:rPr>
        <w:t>E. 3.2.2</w:t>
      </w:r>
    </w:p>
    <w:p>
      <w:r>
        <w:t>En outre, on ne voit pas l’intérêt que représenterait l’établissement du profil ADN du recourant pour élucider d’autres infractions que celles pour lesquelles une instruction pénale est en cours. En effet, on cherche en vain, au dossier, un indice concret qui permettrait de soupçonner le recourant d’être impliqué dans la commission d’autres infractions. Le motif prévu à l’art. 255 al. 1bis CPP n’est donc pas davantage réalisé.</w:t>
      </w:r>
    </w:p>
    <w:p>
      <w:r>
        <w:rPr>
          <w:b/>
        </w:rPr>
        <w:t>E. 3.2.3</w:t>
      </w:r>
    </w:p>
    <w:p>
      <w:r>
        <w:t>Enfin, l’enquête n’est pas clôturée, de sorte que l’art. 257 CPP ne saurait davantage trouver application.</w:t>
      </w:r>
    </w:p>
    <w:p>
      <w:r>
        <w:rPr>
          <w:b/>
        </w:rPr>
        <w:t>E. 3.2.4</w:t>
      </w:r>
    </w:p>
    <w:p>
      <w:r>
        <w:t>Compte tenu de ce qui précède, les conditions légales qui auraient permis l’établissement du profil ADN du recourant ne sont pas réunies.</w:t>
      </w:r>
    </w:p>
    <w:p>
      <w:r>
        <w:rPr>
          <w:b/>
        </w:rPr>
        <w:t>E. 3.3</w:t>
      </w:r>
    </w:p>
    <w:p>
      <w:r>
        <w:t>Cela étant, il y a lieu de préciser que l’issue du présent recours ne saurait empêcher la direction de la procédure d'ordonner à l’avenir – si les conditions en sont réunies – un nouveau prélèvement d’ADN et une nouvelle analyse, en conformité des normes applicables (cf. TF 1B_425/2017 du 13 mars 2018 consid 2.4, non publié à l’ATF 144 IV 127).</w:t>
      </w:r>
    </w:p>
    <w:p>
      <w:r>
        <w:rPr>
          <w:b/>
        </w:rPr>
        <w:t>E. 4</w:t>
      </w:r>
    </w:p>
    <w:p>
      <w:r>
        <w:t>En définitive, le recours doit être admis, l’ordonnance entreprise annulée et la destruction du prélèvement d’ADN n° 3362774602 ordonnée. Au vu du travail accompli par le défenseur d’office, il sera retenu 3 heures d’activité d’avocat breveté. Au tarif horaire de 180 fr. (art. 2 al. 1 let. a et b et 3 al. 2 RAJ [règlement sur l'assistance judiciaire en matière civile du 7 décembre 2010 ; BLV 211.02.3], par renvoi de l'art. 26b TFIP [tarif des frais de procédure et indemnités en matière pénale du 28 septembre 2010 ; BLV 312.03.1]), les honoraires nets s’élèvent à 540 francs. S'y ajoutent 2 % pour les débours (art. 3bis al. 1 RAJ, par renvoi de l'art. 26b 12J010</w:t>
      </w:r>
    </w:p>
    <w:p>
      <w:r>
        <w:t>- 9 - TFIP), à hauteur de 10 fr. 80, ainsi que la TVA, par 44 fr. 60. L’indemnité se monte ainsi à 596 fr. en chiffres arrondis. Vu l’issue du recours, les frais de la procédure de recours, constitués en l’espèce de l’émolument d’arrêt, par 880 fr. (art. 20 al. 1 TFIP [tarif des frais de procédure et indemnités en matière pénale ; BLV 312.03.1]), et des frais imputables à la défense d’office (art. 422 al. 1 et 2 let. a CPP), seront laissés à la charge de l’Etat (art. 423 al. 1 et 428 al. 4 CPP). Par ces motifs, la Chambre des recours pénale prononce : I. Le recours est admis. II. L’ordonnance du 22 janvier 2026 est annulée. III. La destruction du prélèvement d’ADN n° 3362774602 est ordonnée. IV. L’indemnité allouée à Me Pierre-Alain Killias, défenseur d’office de F.________, est fixée à 596 fr. (cinq cent nonante-six francs). V. Les frais d’arrêt, par 880 fr. (huit cent huitante francs), ainsi que l'indemnité allouée à Me Pierre-Alain Killias, par 596 fr. (cinq cent nonante-six francs), sont laissés à la charge de l’Etat. VI. L’arrêt est exécutoire. La présidente : La greffière : 12J010</w:t>
      </w:r>
    </w:p>
    <w:p>
      <w:r>
        <w:t>- 10 - Du Le présent arrêt, dont la rédaction a été approuvée à huis clos, est notifié, par l'envoi d'une copie complète, à : - Me Pierre-Alain Killias, avocat (pour F.________),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