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PE26.000440 vom 17. Februar 2026</w:t>
      </w:r>
    </w:p>
    <w:p>
      <w:r>
        <w:t>VD Tribunal cantonal, 2026-02-17, FR</w:t>
      </w:r>
    </w:p>
    <w:p>
      <w:r>
        <w:rPr>
          <w:b/>
        </w:rPr>
        <w:t xml:space="preserve">Quelle: </w:t>
      </w:r>
      <w:r>
        <w:t>https://mcp.opencaselaw.ch/entscheid/vd_gerichte_PE26.000440</w:t>
      </w:r>
    </w:p>
    <w:p>
      <w:r>
        <w:t>FR: VD_GERICHTE PE26.000440 du 17 février 2026</w:t>
      </w:r>
    </w:p>
    <w:p>
      <w:r>
        <w:t>IT: VD_GERICHTE PE26.000440 del 17 febbraio 2026</w:t>
      </w:r>
    </w:p>
    <w:p>
      <w:pPr>
        <w:pStyle w:val="Heading2"/>
      </w:pPr>
      <w:r>
        <w:t>Erwägungen</w:t>
      </w:r>
    </w:p>
    <w:p>
      <w:r>
        <w:rPr>
          <w:b/>
        </w:rPr>
        <w:t>E. 2</w:t>
      </w:r>
    </w:p>
    <w:p>
      <w:r>
        <w:t>En définitive, le recours doit être déclaré irrecevable, sans échange d’écritures (art. 390 al. 2 CPP). Compte tenu de la nature de l’affaire et de l’acte de recours, l’indemnité allouée à Me Kathrin Gruber, défenseur d’office de D.________, 12J010</w:t>
      </w:r>
    </w:p>
    <w:p>
      <w:r>
        <w:t>- 7 - sera fixée à 360 fr., correspondant à une activité nécessaire d’avocat de 2h00 au tarif horaire de 180 fr., montant auquel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par 29 fr. 75, soit à 397 fr. au total en chiffres arrondis. Vu le sort du recours, les frais de la procédure, constitués en l’espèce de l’émolument d'arrêt, par 770 fr. (art. 20 al. 1 TFIP), et des frais imputables à la défense d’office (art. 422 al. 1 et 2 let. a CPP), par 397 fr., seront mis à la charge du recourant, qui est réputé avoir succombé (art. 428 al. 1 CPP). Le remboursement à l’Etat de l’indemnité allouée au défenseur d’office du recourant sera exigible dès que la situation financière de ce dernier le permettra (art. 135 al. 4 CPP). Par ces motifs, la Chambre des recours pénale prononce : I. Le recours est irrecevable. II. L’indemnité allouée à Me Kathrin Gruber, défenseur d’office de D.________, est fixée à 397 fr. (trois cent nonante-sept francs). III. Les frais d’arrêt, par 770 fr. (sept cent septante francs), ainsi que l'indemnité allouée à Me Kathrin Gruber, par 397 fr. (trois cent nonante-sept francs), sont mis à la charge de D.________. IV. Le remboursement à l’Etat de l’indemnité allouée au chiffre II ci-dessus ne sera exigible que pour autant que la situation financière de D.________ le permette. 12J010</w:t>
      </w:r>
    </w:p>
    <w:p>
      <w:r>
        <w:t>- 8 - V. L’arrêt est exécutoire. Le vice-président : La greffière : Du Le présent arrêt, dont la rédaction a été approuvée à huis clos, est notifié, par l'envoi d'une copie complète, à : - Me Kathrin Gruber, avocate (pour D.________),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