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PE26.000294 vom 3. März 2026</w:t>
      </w:r>
    </w:p>
    <w:p>
      <w:r>
        <w:t>VD Tribunal cantonal, 2026-03-03, FR</w:t>
      </w:r>
    </w:p>
    <w:p>
      <w:r>
        <w:rPr>
          <w:b/>
        </w:rPr>
        <w:t xml:space="preserve">Quelle: </w:t>
      </w:r>
      <w:r>
        <w:t>https://mcp.opencaselaw.ch/entscheid/vd_gerichte_PE26.000294</w:t>
      </w:r>
    </w:p>
    <w:p>
      <w:r>
        <w:t>FR: VD_GERICHTE PE26.000294 du 3 mars 2026</w:t>
      </w:r>
    </w:p>
    <w:p>
      <w:r>
        <w:t>IT: VD_GERICHTE PE26.000294 del 3 marzo 2026</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(cf. notamment CREP 6 juin 2025/412).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- 4 -</w:t>
      </w:r>
    </w:p>
    <w:p>
      <w:r>
        <w:rPr>
          <w:b/>
        </w:rPr>
        <w:t>E. 1.2</w:t>
      </w:r>
    </w:p>
    <w:p>
      <w:r>
        <w:t>En l’espèce, le recours a été interjeté en temps utile auprès de l’autorité compétente par le prévenu qui a la qualité pour recourir (art. 382 CPP) et dans les formes prescrites (art. 385 al. 1 CPP), de sorte qu’il est recevable.</w:t>
      </w:r>
    </w:p>
    <w:p>
      <w:r>
        <w:rPr>
          <w:b/>
        </w:rPr>
        <w:t>E. 2.1</w:t>
      </w:r>
    </w:p>
    <w:p>
      <w:r>
        <w:t>Le recourant invoque tout d’abord une violation de son droit d’être entendu. Selon lui, l’ordonnance ne serait pas suffisamment motivée, le Ministère public s’étant borné à lister un résumé des faits dont il est suspecté, à faire mention de son casier judiciaire et à conclure qu’il existait des indices sérieux et concrets d’implication dans d’autres crimes et que la mesure était adéquate et proportionnée. Il reproche à cette autorité de ne pas avoir mentionné, même de manière succincte, le but recherché concrètement par l’établissement de son profil d’ADN, en détaillant les éléments nouveaux qu’elle estimait pouvoir établir de cette manière. Selon lui, il n’y aurait pas non plus de véritable raisonnement sur la proportionnalité.</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12J010</w:t>
      </w:r>
    </w:p>
    <w:p>
      <w:r>
        <w:t>- 5 -</w:t>
      </w:r>
    </w:p>
    <w:p>
      <w:r>
        <w:rPr>
          <w:b/>
        </w:rPr>
        <w:t>E. 2.3</w:t>
      </w:r>
    </w:p>
    <w:p>
      <w:r>
        <w:t>En l’espèce, compte tenu de la nature des charges pesant sur le recourant, qui sont suffisamment résumées dans l’ordonnance, celui-ci était indéniablement en mesure de comprendre le motif de l’établissement de son profil d’ADN ordonné par le Ministère public. Dans ce type d’affaire, la recherche et la comparaison de traces ADN est la règle et le recourant ne saurait de bonne foi prétendre qu’il en ignore la raison. A l’évidence, des traces pourraient être trouvées sur le théâtre des agissements qui lui sont 12J010</w:t>
      </w:r>
    </w:p>
    <w:p>
      <w:r>
        <w:t>- 6 - reprochés, notamment au domicile des éventuelles personnes visitées ou sur des objets appartenant à celles-ci et qui seraient retrouvés (cartes de crédit, numéraires, bijoux). Dès lors, on ne saurait admettre une violation du droit d’être entendu du recourant.</w:t>
      </w:r>
    </w:p>
    <w:p>
      <w:r>
        <w:rPr>
          <w:b/>
        </w:rPr>
        <w:t>E. 2.4</w:t>
      </w:r>
    </w:p>
    <w:p>
      <w:r>
        <w:t>; ATF 142 II 154 consid. 4.2 ; ATF 139 IV 179 précité). Dès lors que l'on peut discerner les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7B_662/2024 du 9 octobre 2024 consid. 3.2.2), ce dont dispose la Chambre des recours pénale (art. 391 al. 1 et 393 al. 2 CPP ; cf. notamment TF 7B_394/2024 du 12 juin 2024 consid. 2.2.2 et les références citées). Une telle réparation doit rester l'exception et n'est admissible, en principe, que dans l'hypothèse d'une atteinte qui n'est pas particulièrement grave aux droits procéduraux de la partie lésée (TF 7B_662/2024 précité).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148 IV 22 consid. 5.5.2 ; ATF 145 I 167 consid. 4.4 et les références citées ; TF 7B_1011/2023 du 11 janvier 2024 consid. 3.2).</w:t>
      </w:r>
    </w:p>
    <w:p>
      <w:r>
        <w:rPr>
          <w:b/>
        </w:rPr>
        <w:t>E. 3.1</w:t>
      </w:r>
    </w:p>
    <w:p>
      <w:r>
        <w:t>Dans un deuxième moyen, le recourant conteste que la mesure soit de nature à apporter des éléments servant à élucider les infractions qui lui sont reprochées. Il prétend que le Ministère public ne fait état d’aucun élément pertinent à ce sujet et se contente de mentionner que des indices concrets et sérieux découleraient de ses antécédents et des faits dont il est soupçonné. Ainsi, le procureur n’exposerait pas ce qu’il entend faire de cet échantillon, ni à quoi il lui servirait. Comme le recourant aurait admis avoir effectué des transports de diverses personnes dans le cadre des faits qui lui sont reprochés, on ne verrait pas en quoi son ADN pourrait être utile à l’enquête. Selon lui, la seule problématique à résoudre serait celle de savoir s’il était au courant des agissements des personnes qu’il transportait, ce qu’il conteste. En dernier lieu, le recourant soutient que la mesure constituerait une fishing expedition et qu’elle serait disproportionnée.</w:t>
      </w:r>
    </w:p>
    <w:p>
      <w:r>
        <w:rPr>
          <w:b/>
        </w:rPr>
        <w:t>E. 3.2</w:t>
      </w:r>
    </w:p>
    <w:p>
      <w:r>
        <w:t>Les mesures de reconnaissance et la conservation des données peuvent porter atteinte au droit à la liberté personnelle (art. 10 al. 2 Cst.) et à la protection contre l’emploi abusif de données personnelles (art. 13 al. 2 Cst. et 8 CEDH ; ATF 147 I 372 consid. 2.2 ; ATF 145 IV 263 consid. 3.4). Elles doivent ainsi être fondées sur une base légale suffisamment claire et précise, être justifiées par un intérêt public et être proportionnées au but visé (art. 36 al. 1 à 3 Cst. ; ATF 147 I 372 consid. 2.3.3 ; TF 1B_631/2022 du 14 février 2023 consid. 2). Selon l’art. 255 al. 1 let. a CPP, dans sa teneur en vigueur depuis le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12J010</w:t>
      </w:r>
    </w:p>
    <w:p>
      <w:r>
        <w:t>- 7 - d’élucider des infractions passées, si des indices concrets laissent présumer qu’il pourrait avoir commis d’autres crimes ou délits (art. 255 al.1bis nCPP ; Message du Conseil fédéral du 28 août 2019 concernant la modification du Code de procédure pénale, FF 2019 pp. 6351 ss, spéc. p. 6405). L’art. 257 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 pronostic sont réunis à la fin des débats ou de l’instruction, mais ne le seraient pas lorsque débute l’instruction (message précité, FF 2019 pp. 6351 ss, spéc. p. 6405). Aux termes de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d’ADN,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1B_230/2022 du 7 septembre 2022 consid. 2.2).</w:t>
      </w:r>
    </w:p>
    <w:p>
      <w:r>
        <w:rPr>
          <w:b/>
        </w:rPr>
        <w:t>E. 3.3</w:t>
      </w:r>
    </w:p>
    <w:p>
      <w:r>
        <w:t>En l’espèce, la mesure contestée porte uniquement sur d’éventuelles infractions pénales commises dans le passé, de sorte que le critère de la gravité ne joue aucun rôle. De toute manière, l’escroquerie est 12J010</w:t>
      </w:r>
    </w:p>
    <w:p>
      <w:r>
        <w:t>- 8 - un crime au sens de l’art. 10 al. 3 CP, qui entre dans le champ d’application de l’art. 255 al. 1 CPP. Quant à l’utilité de la mesure contestée, elle est manifeste, comme on l’a vu ci-dessus et quoi qu’en dise le recourant qui continue à affirmer péremptoirement qu’elle n’est pas nécessaire. Enfin, pour répondre au dernier moyen du recourant, la mesure se révèle proportionnée, compte tenu des intérêts à protéger et des indices concrets laissant supposer qu’il est également impliqué dans d’autres cas d’escroquerie « au faux policier » survenus en Suisse romande durant les mois de décembre 2025 et de janvier 2026, notamment ceux pour lesquels le recourant est mis en cause par son comparse. Actuellement, des vérifications sont en cours et on ne peut sérieusement exclure une aggravation des charges pesant sur le recourant. À cet égard, les antécédents de ce dernier pour des infractions contre le patrimoine tendent également à renforcer les soupçons que l’on peut raisonnablement nourrir à son endroit. Dans un tel contexte, l’intérêt public à l’établissement du profil d’ADN pour permettre l’élucidation de crimes l’emporte sans conteste sur l’intérêt privé du recourant au respect de sa liberté personnelle et de sa vie privée. La mesure est par ailleurs la seule qui apparaît apte à atteindre le même but. Le principe de la proportionnalité est ainsi respecté. En définitive, c’est à juste titre que le Ministère public a ordonné l’établissement d’un profil d’ADN au sens de l’art. 255 CPP.</w:t>
      </w:r>
    </w:p>
    <w:p>
      <w:r>
        <w:rPr>
          <w:b/>
        </w:rPr>
        <w:t>E. 4</w:t>
      </w:r>
    </w:p>
    <w:p>
      <w:r>
        <w:t>Au vu de ce qui précède, le recours, manifestement mal fondé, doit être rejeté sans échange d’écritures (art. 390 al. 2 CPP) et l’ordonnance du 16 janvier 2026 confirmée. Compte tenu de la nature de l’affaire et de l’acte de recours déposé, l’indemnité allouée à Me Florian Monnier, défenseur d’office de B.________, sera fixée à 540 fr., correspondant à une activité nécessaire d’avocat de trois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12J010</w:t>
      </w:r>
    </w:p>
    <w:p>
      <w:r>
        <w:t>- 9 - matière pénale du 28 septembre 2010 ; BLV 312.03.1]), par 10 fr. 80, et la TVA au taux de 8,1 %, par 44 fr. 60. L’indemnité d’office s’élève ainsi au total à 596 fr. en chiffres arrondis. Les frais de la procédure de recours, constitués de l’émolument d’arrêt (art. 422 al. 1 CPP), par 880 fr. (art. 20 al. 1 TFIP [Tarif des frais de procédure et indemnités en matière pénale du 28 septembre 2010 ; BLV 312.03.1]), et de l’indemnité due au défenseur d’office (art. 422 al. 1 et 2 let. a CPP), par 596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16 janvier 2026 est confirmée. III. L’indemnité allouée à Me Florian Monnier, défenseur d’office de B.________, est fixée à 596 fr. (cinq cent nonante-six francs). IV. Les frais d’arrêt, par 880 fr. (huit cent huitante francs), ainsi que l’indemnité allouée à Me Florian Monnier par 596 fr. (cinq cent nonante-six francs), sont mis à la charge de B.________. V. Le remboursement à l’Etat de l’indemnité allouée sous chiffre III ci-dessus sera exigible de B.________ dès que sa situation financière le permettra. 12J010</w:t>
      </w:r>
    </w:p>
    <w:p>
      <w:r>
        <w:t>- 10 - VI. L’arrêt est exécutoire. La présidente : La greffière : Du Le présent arrêt, dont la rédaction a été approuvée à huis clos, est notifié, par l'envoi d'une copie complète, à : - Me Florian Monnier,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