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PE26.000274 vom 19. Februar 2026</w:t>
      </w:r>
    </w:p>
    <w:p>
      <w:r>
        <w:t>VD Tribunal cantonal, 2026-02-19, FR</w:t>
      </w:r>
    </w:p>
    <w:p>
      <w:r>
        <w:rPr>
          <w:b/>
        </w:rPr>
        <w:t xml:space="preserve">Quelle: </w:t>
      </w:r>
      <w:r>
        <w:t>https://mcp.opencaselaw.ch/entscheid/vd_gerichte_PE26.000274</w:t>
      </w:r>
    </w:p>
    <w:p>
      <w:r>
        <w:t>FR: VD_GERICHTE PE26.000274 du 19 février 2026</w:t>
      </w:r>
    </w:p>
    <w:p>
      <w:r>
        <w:t>IT: VD_GERICHTE PE26.000274 del 19 febbraio 2026</w:t>
      </w:r>
    </w:p>
    <w:p>
      <w:pPr>
        <w:pStyle w:val="Heading2"/>
      </w:pPr>
      <w:r>
        <w:t>Erwägungen</w:t>
      </w:r>
    </w:p>
    <w:p>
      <w:r>
        <w:rPr>
          <w:b/>
        </w:rPr>
        <w:t>E. 9</w:t>
      </w:r>
    </w:p>
    <w:p>
      <w:r>
        <w:t>Au vu de ce qui précède, le recours et la demande de récusation doivent être déclarés irrecevables sans échange d’écritures. Les frais de la procédure de recours et de récusation, par 1’170 fr. (art. 422 al. 1 CPP ; art. 20 al. 1 TFIP [Tarif des frais de procédure et indemnités en matière pénale du 28 septembre 2010 ; BLV 312.03.1]), seront mis à la charge des recourants et requérants (art. 428 al. 1, 2e phrase, et 59 al. 4 CPP), solidairement entre eux. L’attention de PX.________ et EX.________ est attirée sur le fait qu’en application de l’art. 388 al. 2 let. c CPP, il ne sera plus entré en matière sur d’éventuels nouveaux recours ou demandes de récusation procéduriers ou abusifs. 12J080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