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PE26.000009 vom 11. Mai 2026</w:t>
      </w:r>
    </w:p>
    <w:p>
      <w:r>
        <w:t>VD Tribunal cantonal, 2026-05-11, FR</w:t>
      </w:r>
    </w:p>
    <w:p>
      <w:r>
        <w:rPr>
          <w:b/>
        </w:rPr>
        <w:t xml:space="preserve">Quelle: </w:t>
      </w:r>
      <w:r>
        <w:t>https://mcp.opencaselaw.ch/entscheid/vd_gerichte_PE26.000009</w:t>
      </w:r>
    </w:p>
    <w:p>
      <w:r>
        <w:t>FR: VD_GERICHTE PE26.000009 du 11 mai 2026</w:t>
      </w:r>
    </w:p>
    <w:p>
      <w:r>
        <w:t>IT: VD_GERICHTE PE26.000009 del 11 maggio 2026</w:t>
      </w:r>
    </w:p>
    <w:p>
      <w:pPr>
        <w:pStyle w:val="Heading2"/>
      </w:pPr>
      <w:r>
        <w:t>Erwägungen</w:t>
      </w:r>
    </w:p>
    <w:p>
      <w:r>
        <w:rPr>
          <w:b/>
        </w:rPr>
        <w:t>E. 1</w:t>
      </w:r>
    </w:p>
    <w:p>
      <w:r>
        <w:t>Par ordonnance du 26 mars 2026, le Ministère public de l’arrondissement de l’Est vaudois a refusé d’entrer en matière sur une plainte pénale déposée par B.________ contre son ex-conjoint D.________. 10J020</w:t>
      </w:r>
    </w:p>
    <w:p>
      <w:r>
        <w:t>- 2 -</w:t>
      </w:r>
    </w:p>
    <w:p>
      <w:r>
        <w:rPr>
          <w:b/>
        </w:rPr>
        <w:t>E. 2</w:t>
      </w:r>
    </w:p>
    <w:p>
      <w:r>
        <w:t>Par acte du 7 avril 2026, B.________, par son conseil de choix, a recouru contre cette ordonnance en concluant à son annulation et au renvoi de la cause au Ministère public pour qu’il ouvre une instruction pénale, un montant non inférieur à 1'500 fr. lui étant alloué à titre de dépens.</w:t>
      </w:r>
    </w:p>
    <w:p>
      <w:r>
        <w:rPr>
          <w:b/>
        </w:rPr>
        <w:t>E. 3</w:t>
      </w:r>
    </w:p>
    <w:p>
      <w:r>
        <w:t>Par avis du 10 avril 2026, la direction de la procédure a imparti à B.________ un délai au 30 avril 2026 pour s’acquitter du versement d’un montant de 770 fr. à titre de sûretés. La recourante s’est acquittée de l’avance de frais en temps utile.</w:t>
      </w:r>
    </w:p>
    <w:p>
      <w:r>
        <w:rPr>
          <w:b/>
        </w:rPr>
        <w:t>E. 4</w:t>
      </w:r>
    </w:p>
    <w:p>
      <w:r>
        <w:t>Le 5 mai 2026, B.________, par son conseil de choix, a indiqué qu’elle s’était engagée à retirer son recours par convention passée avec son ex-conjoint dans le cadre d’un litige civil les opposant.</w:t>
      </w:r>
    </w:p>
    <w:p>
      <w:r>
        <w:rPr>
          <w:b/>
        </w:rPr>
        <w:t>E. 5</w:t>
      </w:r>
    </w:p>
    <w:p>
      <w:r>
        <w:t>octobre 2007 ; RS 312.0]).</w:t>
      </w:r>
    </w:p>
    <w:p>
      <w:r>
        <w:rPr>
          <w:b/>
        </w:rPr>
        <w:t>E. 6</w:t>
      </w:r>
    </w:p>
    <w:p>
      <w:r>
        <w:t>Les frais de procédure, constitués de l’émolument d’arrêt, par 330 fr. (art. 20 al. 1 TFIP [tarif des frais de procédure et indemnités en matière pénale du 28 septembre 2010 ; BLV 312.03.1]), seront laissés à la charge de l’Etat, le recours ayant été retiré pour un motif qui n’est pas imputable à la recourante (TF 1B_308/2021 du 5 juillet 2021 consid. 3 ; TF 1B_123/2021 du 27 avril 2021 consid. 7.2). L'avance de frais de 770 fr. versée par la recourante à titre de sûretés lui sera restituée (art. 383 al. 1 CPP ; art. 7 TFIP). 10J020</w:t>
      </w:r>
    </w:p>
    <w:p>
      <w:r>
        <w:t>- 3 - Par ces motifs, la Chambre des recours pénale prononce : I. Il est pris acte du retrait du recours. II. La cause est rayée du rôle. III. Les frais d’arrêt, par 330 fr. (trois cent trente francs), sont laissés à la charge de l’Etat. IV. Le montant de 770 fr. (sept cent septante francs) versé par B.________ à titre de sûretés lui est restitué. V. L’arrêt est exécutoire. La présidente : Le greffier : Du Le présent arrêt, dont la rédaction a été approuvée à huis clos, est notifié, par l'envoi d'une copie complète, à : - Me Albert Habib, avocat (pour B.________), - Ministère public central, et communiqué à : - Mme la Procureure de l’arrondissement de l’Est vaudois, - Me Emmeline Filliez-Bonnard, avocate (pour D.________), 10J020</w:t>
      </w:r>
    </w:p>
    <w:p>
      <w:r>
        <w:t>- 4 -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