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PE25.026768 vom 28. April 2026</w:t>
      </w:r>
    </w:p>
    <w:p>
      <w:r>
        <w:t>VD Tribunal cantonal, 2026-04-28, FR</w:t>
      </w:r>
    </w:p>
    <w:p>
      <w:r>
        <w:rPr>
          <w:b/>
        </w:rPr>
        <w:t xml:space="preserve">Quelle: </w:t>
      </w:r>
      <w:r>
        <w:t>https://mcp.opencaselaw.ch/entscheid/vd_gerichte_PE25.026768</w:t>
      </w:r>
    </w:p>
    <w:p>
      <w:r>
        <w:t>FR: VD_GERICHTE PE25.026768 du 28 avril 2026</w:t>
      </w:r>
    </w:p>
    <w:p>
      <w:r>
        <w:t>IT: VD_GERICHTE PE25.026768 del 28 aprile 2026</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Commentaire romand, Code de procédure pénale suisse [CR CPP], 2e éd.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- 5 -</w:t>
      </w:r>
    </w:p>
    <w:p>
      <w:r>
        <w:rPr>
          <w:b/>
        </w:rPr>
        <w:t>E. 1.2</w:t>
      </w:r>
    </w:p>
    <w:p>
      <w:r>
        <w:t>En l’espèce, interjeté en temps utile, auprès de l’autorité compétente et dans les formes prescrites (art. 385 al. 1 CPP), par une partie revêtant la qualité de prévenu qui a un intérêt juridique à l’annulation ou à la modification de l’ordonnance entreprise (art. 382 al. 1 CPP), le recours est recevable.</w:t>
      </w:r>
    </w:p>
    <w:p>
      <w:r>
        <w:rPr>
          <w:b/>
        </w:rPr>
        <w:t>E. 2.1</w:t>
      </w:r>
    </w:p>
    <w:p>
      <w:r>
        <w:t>Le recourant invoque une violation de l’art. 132 CPP. Il fait valoir que l’affaire ne saurait être qualifiée de peu de gravité, dès lors qu’il a été condamné à une peine de 150 jours-amende, soit au-delà du seuil prévu par l’art. 132 al. 3 CPP, que son défenseur avait dû signaler au Ministère public qu’une des condamnations mentionnées dans l’ordonnance pénale n’était ni définitive ni exécutoire et qu’une condamnation entraînerait une inscription à son casier judiciaire avec des répercussions significatives sur son avenir. Sur le plan subjectif, il a indiqué souffrir d’une dépendance aux stupéfiants, être dans l’attente d’une décision relative à sa demande AI et présenter un trouble de la personnalité borderline.</w:t>
      </w:r>
    </w:p>
    <w:p>
      <w:r>
        <w:rPr>
          <w:b/>
        </w:rPr>
        <w:t>E. 2.2</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12J010</w:t>
      </w:r>
    </w:p>
    <w:p>
      <w:r>
        <w:t>- 6 - particulier lorsque le prévenu se trouve dans l'incapacité de suivre la procédure, de comprendre les accusations portées à son encontre et/ou de prendre raisonnablement position à cet égard (TF 1B_229/2021 du 9 septembre 2021 consid. 3.1 ; TF 6B_1331/2020 du 18 janvier 2021 consid.</w:t>
      </w:r>
    </w:p>
    <w:p>
      <w:r>
        <w:rPr>
          <w:b/>
        </w:rPr>
        <w:t>E. 2.2.3</w:t>
      </w:r>
    </w:p>
    <w:p>
      <w:r>
        <w:t>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3e éd., Bâle 2025, n. 15 ad art. 130 CPP et référence citée). La cause des incapacités personnelles peut consister dans des dépendances à l’alcool, aux stupéfiants ou à des médicaments, susceptibles d’altérer les capacités psychiques (TF 1B_229/2021 précité ; TF 6B_508/2020 du 7 janvier 2021 consid. 2.1.1 ; TF 1B_493/2019 du 20 décembre 2019 consid. 2.1), ainsi que de troubles mentaux sévères ou même légers (Schmid/Jositsch, Praxiskommentar, Schweizerische Strafprozessordnung, 4e éd., 2023, n. 9 ad art. 130 CPP ; Harari/Jakob/Santamaria, in : Jeanneret et al. [éd.], Commentaire romand, op. cit., n. 26 ad art. 130 CPP).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référence citée ; Ruckstuhl, in : Niggli/Heer/Wiprächtiger, Basler Kommentar, Schweizerische Strafprozessordnung, Jugendstrafprozessordnung, 3e éd., Bâle 2023, n. 30 ad art. 130 CPP et réf. cit.). La présence de troubles psychiques, même nécessitant la prise de médicaments, ou l'existence d'une curatelle de portée générale n'entraîne pas automatiquement la défense obligatoire sous l'angle de l'art. 130 let. c CPP (TF 6B/508/2020 du 7 janvier 2021 consid. 2.1.1 ; TF 1B_334/2020 du 1er juillet 2020 consid. 2). En dehors des cas de défense obligatoire visés à l’art. 130 CPP, l’art. 132 al. 1 let. b CPP stipule que la direction de la procédure ordonne 12J010</w:t>
      </w:r>
    </w:p>
    <w:p>
      <w:r>
        <w:t>- 7 - une défense d’office si le prévenu ne dispose pas des moyens nécessaires (indigence)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 Les critères énoncés par l’art. 132 al. 1, let. b, al. 2 et al.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 TF 6B_593/2023 précité). 12J010</w:t>
      </w:r>
    </w:p>
    <w:p>
      <w:r>
        <w:t>- 8 -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 TF 7B_611/2023 du 20 décembre 2023 consid. 3.2.1).</w:t>
      </w:r>
    </w:p>
    <w:p>
      <w:r>
        <w:rPr>
          <w:b/>
        </w:rPr>
        <w:t>E. 2.3</w:t>
      </w:r>
    </w:p>
    <w:p>
      <w:r>
        <w:t>En l’espèce, il convient tout d’abord de relever que l’indigence d’A.________ n’est pas contestée et que celui-ci s’expose à une peine pécuniaire supérieure à 120 jours-amende, de sorte que l’affaire n’est pas de peu de gravité (art. 132 al. 3 CPP). Seule demeure donc litigieuse, à ce stade, la question de savoir si l’affaire présente, sur le plan des faits ou du droit, des difficultés que l’intéressé ne pourrait surmonter seul. Or, sous l’angle juridique, l’affaire ne revêt aucune complexité particulière, les conditions de réalisation des infractions reprochées au recourant – à savoir l’injure, la violence ou la 12J010</w:t>
      </w:r>
    </w:p>
    <w:p>
      <w:r>
        <w:t>- 9 - menace contre les autorités ou les fonctionnaires et l’empêchement d’accomplir un acte officiel – se comprenant aisément. En ce qui concerne les faits, contrairement à ce qu’affirme le recourant, le fait que son avocat ait pointé une erreur dans l’ordonnance pénale en cause ne justifie pas, en tant que tel, son intervention. Il n’y a d’ailleurs vraisemblablement aucune mesure d’instruction particulière supplémentaire à mettre en œuvre. Enfin, sur le plan subjectif, le recourant, étudiant à l’université et de langue maternelle française, est à même de faire valoir seul sa version des faits, comme il l’a d’ailleurs déjà fait devant la police. Quant au fait qu’il fasse l’objet d’une curatelle de représentation et de gestion (P. 7/4), qu’il souffre de dépendances à l’alcool et aux médicaments et d’un trouble de la personnalité borderline (P. 7/3) et qu’il bénéficie d’une rente d’invalidité entière (P.13/2), il n’est pas de nature à relativiser ce constat. Au surplus, on relèvera que ces circonstances – curatelle de représentation, dépendance à l’alcool et aux médicaments et trouble mental – ne suffisent pas à démontrer une prétendue incapacité psychique de procéder au sens de l’art. 130 let. c CPP. En effet, le recourant ne prétend pas qu'il serait incapable de suivre la procédure, de comprendre les accusations portées contre lui ou de prendre raisonnablement position à cet égard. Du reste, il ressort de son audition par la police, qu’il a compris les enjeux de la procédure, même s’il ne se souvenait pas de tous les faits, et qu’il était conscient du comportement à adopter devant les dépositaires de l’autorité. Partant, c’est à bon droit que l’autorité précédente a retenu que sa cause ne nécessitait pas le concours d’un avocat. Mal fondé, le grief doit être rejeté.</w:t>
      </w:r>
    </w:p>
    <w:p>
      <w:r>
        <w:rPr>
          <w:b/>
        </w:rPr>
        <w:t>E. 3</w:t>
      </w:r>
    </w:p>
    <w:p>
      <w:r>
        <w:t>En définitive, le recours doit être rejeté et l’ordonnance querellée confirmée. Les frais d'arrêt, par 990 fr. (art. 20 al. 1 TFIP [tarif des frais de procédure et indemnités en matière pénale du 28 septembre 2010 ; BLV 12J010</w:t>
      </w:r>
    </w:p>
    <w:p>
      <w:r>
        <w:t>- 10 - 312.03.1]), seront mis à la charge du recourant, qui succombe (art. 428 al. 1 CPP). Par ces motifs, la Chambre des recours pénale prononce : I. Le recours est rejeté. II. L’ordonnance du 12 février 2026 est confirmée. III. Les frais d’arrêt, par 990 fr. (neuf cent nonante francs), sont mis à la charge d’A.________. IV. L’arrêt est exécutoire. La présidente : La greffière : Du Le présent arrêt, dont la rédaction a été approuvée à huis clos, est notifié, par l'envoi d'une copie complète, à : - Me Thanh-My Tran-Nhu (pour A.________), - Ministère public central, et communiqué à : - Mme la Procureure de l’arrondissement de Lausanne, par l’envoi de photocopies. 12J010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