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PE25.026754 vom 6. März 2026</w:t>
      </w:r>
    </w:p>
    <w:p>
      <w:r>
        <w:t>VD Tribunal cantonal, 2026-03-06, FR</w:t>
      </w:r>
    </w:p>
    <w:p>
      <w:r>
        <w:rPr>
          <w:b/>
        </w:rPr>
        <w:t xml:space="preserve">Quelle: </w:t>
      </w:r>
      <w:r>
        <w:t>https://mcp.opencaselaw.ch/entscheid/vd_gerichte_PE25.026754</w:t>
      </w:r>
    </w:p>
    <w:p>
      <w:r>
        <w:t>FR: VD_GERICHTE PE25.026754 du 6 mars 2026</w:t>
      </w:r>
    </w:p>
    <w:p>
      <w:r>
        <w:t>IT: VD_GERICHTE PE25.026754 del 6 marzo 2026</w:t>
      </w:r>
    </w:p>
    <w:p>
      <w:pPr>
        <w:pStyle w:val="Heading2"/>
      </w:pPr>
      <w:r>
        <w:t>Erwägungen</w:t>
      </w:r>
    </w:p>
    <w:p>
      <w:r>
        <w:rPr>
          <w:b/>
        </w:rPr>
        <w:t>E. 12</w:t>
      </w:r>
    </w:p>
    <w:p>
      <w:r>
        <w:t>février 2026. 1.4 B.________ n’a pas donné suite à cet avis. 2. 2.1 Selon l’art. 388 al. 2 CPP (Code de procédure pénale suisse du 5 octobre 2007 ; RS 312.0), la direction de la procédure de l’autorité de recours peut décider de ne pas entrer en matière sur les recours manifestement irrecevables (let. a), dont la motivation est manifestement insuffisante (let. b) ou encore procéduriers ou abusifs (let. c).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FF 2019 p. 6419). 12J080</w:t>
      </w:r>
    </w:p>
    <w:p>
      <w:r>
        <w:t>- 3 - La décision constatant l’irrecevabilité d’un recours ensuite d’une demande de mise en conformité à laquelle il n’a pas été satisfait relève de la compétence du Président de la Chambre des recours pénale (art. 388 al. 2 let. a CPP ; CREP 20 novembre 2025/887 consid. 2.4 et les références citées). 2.2 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2.3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12J080</w:t>
      </w:r>
    </w:p>
    <w:p>
      <w:r>
        <w:t>- 4 -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 cit.).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2.4 En l’espèce, le pli recommandé contenant l’avis impartissant à B.________ un délai au 17 février 2026 pour motiver son recours a été envoyé à ce dernier le 3 février 2026. Il ressort du relevé de suivi des envois de la Poste suisse que le recourant a été avisé le 4 février 2026 de l’arrivée de ce pli en vue de son retrait. Faute d’avoir été retiré, ce pli a toutefois été retourné à l’expéditeur le 12 février 2026 avec la mention « non réclamé ». B.________ ayant déposé plainte pénale et reçu une ordonnance de non-entrée en matière contre laquelle il a recouru, il se savait partie à une procédure et devait donc s’attendre à recevoir, à l'adresse indiquée 12J080</w:t>
      </w:r>
    </w:p>
    <w:p>
      <w:r>
        <w:t>- 5 -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au recourant le 11 février 2026, à l’échéance du délai de garde de sept jours. 2.5 B.________ n’a pas donné suite à la demande de mise en conformité du 3 février 2026 – qu’il était censé recevoir –, de sorte que son recours est irrecevable (art. 385 al. 2 et 388 al. 2 let. a CPP). Au demeurant, l’acte déposé le 15 janvier 2026 par B.________ dans lequel il fait état de sa volonté de recourir contre l’ordonnance de non- entrée en matière du 5 janvier 2026 ne contient aucune motivation en lien avec la décision attaquée, ni conclusion. B.________ se contente en effet d’exprimer une insatisfaction générale quant à la manière dont le mandat de son curateur a été mené – sans pour autant mentionner un quelconque comportement précis –, et de soutenir que des faits mentionnés dans sa plainte n’ont pas été pris en compte, là encore, sans mentionner lesquels. Il n’expose ainsi nullement, au moyen d’une argumentation en lien avec l’ordonnance attaquée, en quoi la décision qu’il conteste serait erronée en fait ou en droit, pas plus qu’il n’explique pour quel motif il conviendrait de rendre une autre décision. En outre, bien qu’il ait exposé qu’il complèterait son recours dans les meilleurs délais, B.________ ne l’a pas fait dans le délai de grâce qui lui était imparti pour ce faire. Partant, le recours souffre d’une motivation manifestement insuffisante, ce qui doit également être constaté par la Présidente de la Chambre des recours pénale (art. 388 al. 2 let. b CPP). 3. Au vu de ce qui précède, la Présidente de la Chambre des recours pénale constate que le recours est irrecevable. Les frais de la procédure de recours, par 450 fr. (art. 422 al. 1 CPP ; art. 20 al. 1 TFIP [tarif des frais de procédure et indemnités en matière pénale du 12J080</w:t>
      </w:r>
    </w:p>
    <w:p>
      <w:r>
        <w:t>- 6 - 28 septembre 2010 ; BLV 312.03.1]), seront exceptionnellement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