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PE25.026672 vom 19. Januar 2026</w:t>
      </w:r>
    </w:p>
    <w:p>
      <w:r>
        <w:t>VD Tribunal cantonal, 2026-01-19, FR</w:t>
      </w:r>
    </w:p>
    <w:p>
      <w:r>
        <w:rPr>
          <w:b/>
        </w:rPr>
        <w:t xml:space="preserve">Quelle: </w:t>
      </w:r>
      <w:r>
        <w:t>https://mcp.opencaselaw.ch/entscheid/vd_gerichte_PE25.026672</w:t>
      </w:r>
    </w:p>
    <w:p>
      <w:r>
        <w:t>FR: VD_GERICHTE PE25.026672 du 19 janvier 2026</w:t>
      </w:r>
    </w:p>
    <w:p>
      <w:r>
        <w:t>IT: VD_GERICHTE PE25.026672 del 19 gennaio 2026</w:t>
      </w:r>
    </w:p>
    <w:p>
      <w:pPr>
        <w:pStyle w:val="Heading2"/>
      </w:pPr>
      <w:r>
        <w:t>Volltext</w:t>
      </w:r>
    </w:p>
    <w:p>
      <w:r>
        <w:t>TRIBUNAL CANTONAL PE25.***-*** 57 CHAMBRE DE S RECO URS PEN ALE __________________________________________ Arrêt du 19 janvier 2026 Composition : Mme ELKAIM, présidente M. Krieger et Mme Gauron-carlin, juges Greffier : M. Glauser ***** Art. 385 CPP Statuant sur le recours interjeté le 27 décembre 2025 par B.________ contre le prononcé rendu le 11 décembre 2025 par le Tribunal de police de l’arrondissement de La Côte dans la cause n° PE25.***, la Chambre des recours pénale considère : En f ait : A. Par ordonnances pénales datées des 14 juillet 2025, le Préfet du district de Nyon a condamné B.________ à des amendes de 160 fr., respectivement 120 fr., pour violation simple des règles de la circulation routière. 12J010</w:t>
      </w:r>
    </w:p>
    <w:p>
      <w:r>
        <w:t>- 2 - B.________ a formé opposition à ces ordonnances pénales le 20 octobre 2025. B. Par prononcé du 11 décembre 2025, le Tribunal de police de l’arrondissement de La Côte, considérant qu’elle était tardive, a déclaré irrecevable l'opposition interjetée par B.________ (I), a renvoyé la cause à la Préfecture de Nyon pour qu’elle statue sur la demande de restitution de délai contenue dans un courrier de B.________ du 28 novembre 2025 (II), a ordonné le retour à la Préfecture de Nyon de ses dossiers par l’intermédiaire du Ministère public central (III) et a rendu sa décision sans frais (IV). C. Par acte du 27 décembre 2025, B.________ a recouru contre ce prononcé en concluant implicitement à son annulation. Il n’a pas été ordonné d’échange d’écritures. En dro it : 1.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 ss CPP (CREP 4 décembre 2024/886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12J010</w:t>
      </w:r>
    </w:p>
    <w:p>
      <w:r>
        <w:t>- 3 - 1.2 Sous peine d’irrecevabilité, le recourant doit disposer d’un intérêt juridiquement protégé à recourir (art. 382 al. 1 CPP).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12J010</w:t>
      </w:r>
    </w:p>
    <w:p>
      <w:r>
        <w:t>- 4 -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 1.3 En l’espèce, le recours a été interjeté en temps utile devant l’autorité compétente par le prévenu qui, en principe, a qualité pour recourir (art. 382 al. 1 CPP). Cependant, dans son acte du 21 décembre 2025, le recourant se borne – en substance – à expliquer que, bien que le véhicule en cause soit immatriculé au nom de sa société, il n’en est pas le détenteur et qu’il n’a ainsi commis aucune infraction, lesquelles seraient en réalité imputables à son employé, ce qui ressortirait du reste clairement du rapport de police. Ce faisant, il n’expose nullement, en se référant aux considérants de la décision attaquée – selon lesquels la notification des ordonnances pénales a été faite régulièrement et l’opposition est tardive –, quels motifs commanderaient – sous l’angle du fait ou du droit – de prendre une autre décision. Il ne soutient ni que le raisonnement de l’autorité précédente serait erroné, ni ne développe une quelconque argumentation en lien avec le prononcé litigieux. Il s’ensuit que le recours ne satisfait pas aux exigences de motivation déduites de l’art. 385 al. 1 CPP. 2. Au vu de ce qui précède, le recours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12J010</w:t>
      </w:r>
    </w:p>
    <w:p>
      <w:r>
        <w:t>- 5 - septembre 2010 ; BLV 312.03.1]), seront mis à la charge du recourant, réputé succomber (art. 428 al. 1, 2e phrase, CPP). Par ces motifs, la Chambre des recours pénale prononce : I. Le recours est irrecevable. II. Les frais d’arrêt, par 440 fr. (quatre cent quarante francs), sont mis à la charge de B.________. III. L’arrêt est exécutoire. La présidente : Le greffier : Du Le présent arrêt, dont la rédaction a été approuvée à huis clos, est notifié, par l'envoi d'une copie complète, à : - B.________, - Ministère public central, et communiqué à : - Mme le Président du Tribunal de police de l’arrondissement de La Côte, - M. le Procureur du Ministère public central, division affaires spéciales, - Mme la Préfète du district de Nyon, par l’envoi de photocopies. Le présent arrêt peut faire l'objet d'un recours en matière pénale devant le Tribunal fédéral au sens des art. 78 ss LTF (loi du 17 juin 2005 sur le Tribunal fédéral ; RS 173.110). Ce recours doit être déposé 12J010</w:t>
      </w:r>
    </w:p>
    <w:p>
      <w:r>
        <w:t>- 6 -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