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PE25.026263 vom 6. Mai 2026</w:t>
      </w:r>
    </w:p>
    <w:p>
      <w:r>
        <w:t>VD Tribunal cantonal, 2026-05-06, FR</w:t>
      </w:r>
    </w:p>
    <w:p>
      <w:r>
        <w:rPr>
          <w:b/>
        </w:rPr>
        <w:t xml:space="preserve">Quelle: </w:t>
      </w:r>
      <w:r>
        <w:t>https://mcp.opencaselaw.ch/entscheid/vd_gerichte_PE25.026263</w:t>
      </w:r>
    </w:p>
    <w:p>
      <w:r>
        <w:t>FR: VD_GERICHTE PE25.026263 du 6 mai 2026</w:t>
      </w:r>
    </w:p>
    <w:p>
      <w:r>
        <w:t>IT: VD_GERICHTE PE25.026263 del 6 maggio 2026</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(Schwarzenegger, in : Donatsch/Lieber/Summers/Wohlers [éd.], Zürcher Kommentar, Kommentar zur Schweizerischen Strafprozessordnung, 3e éd., Zurich/Bâle/Genève 2020, n. 2 ad art. 356 CPP ; Gilliéron/Killias, in : Jeanneret et al. [éd.], Commentaire romand, Code de procédure pénale suisse, 2e éd., Bâle 2019, n. 5 ad art. 356 CPP ; CREP 18 septembre 2025/701 consid. 1.1). Le recours doit être adressé par écrit, dans un délai de dix jours dès la notification de la décision attaquée, à l’autorité de recours (art. 384 let. b et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1.1.2</w:t>
      </w:r>
    </w:p>
    <w:p>
      <w:r>
        <w:t>; ATF 141 II 429 consid. 3.1 ; ATF 139 IV 288 consid. 1.1 ; TF 6B_217/2025 précité, ibid., et les références citées). En particulier,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6B_217/2025 précité, ibid., et les références citées).</w:t>
      </w:r>
    </w:p>
    <w:p>
      <w:r>
        <w:rPr>
          <w:b/>
        </w:rPr>
        <w:t>E. 1.2</w:t>
      </w:r>
    </w:p>
    <w:p>
      <w:r>
        <w:t>En l’espèce, interjeté en temps utile devant l’autorité compétente par une partie qui a qualité pour recourir (art. 382 al. 1 CPP) et dans les formes prescrites (art. 385 al. 1 CPP), le recours est recevable.</w:t>
      </w:r>
    </w:p>
    <w:p>
      <w:r>
        <w:rPr>
          <w:b/>
        </w:rPr>
        <w:t>E. 2</w:t>
      </w:r>
    </w:p>
    <w:p>
      <w:r>
        <w:t>Reprenant les moyens articulés dans ses écritures des 27 et 29 janvier 2026 et excipant toujours de sa méconnaissance du français, qu’il tient pour connue du Ministère public, le recourant fait valoir que l’ordonnance pénale du 6 janvier 2026 n’a pas fait l’objet d’une notification conforme aux exigences de l’art. 68 al. 2 CPP faute d’être libellée dans une langue qui lui est intelligible, si bien que le délai d’opposition n’a pas commencé à courir avant le 27 janvier 2026. 12J010</w:t>
      </w:r>
    </w:p>
    <w:p>
      <w:r>
        <w:t>- 5 - 12J010</w:t>
      </w:r>
    </w:p>
    <w:p>
      <w:r>
        <w:t>- 6 -</w:t>
      </w:r>
    </w:p>
    <w:p>
      <w:r>
        <w:rPr>
          <w:b/>
        </w:rPr>
        <w:t>E. 3.1</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3.2</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(ATF 146 IV 30 consid. 1.1.2 ; TF 6B_217/2025 du 29 avril 12J010</w:t>
      </w:r>
    </w:p>
    <w:p>
      <w:r>
        <w:t>- 7 - 2025 consid. 2.1.1; TF 6B_1135/2021 du 9 mai 2022 consid. 3.2). Le devoir procédural d’avoir à s’attendre avec une certaine vraisemblance à recevoir la notification d’un acte officiel naît avec l’ouverture d’un procès et vaut pendant toute la durée de la procédure (ATF 146 IV 30 précité ; TF 6B_217/2025 précité, ibid. ; TF 6B_1391/2021 du 25 avril 2022 consid. 1.1).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6B_217/2025 précité, ibid., et les références citées ; TF 6B_1391/2021 précité, ibid.).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précité ; TF 6B_217/2025 précité ; TF 6B_172/2025 du 26 février 2025 consid. 3 ; TF 6B_1083 et 1084/2021 du 16 décembre 2022 consid. 5.2). Il est ainsi admis que la personne concernée doit s'attendre à la remise d'un prononcé lorsqu'elle est au courant qu'elle fait l'objet d'une instruction pénale au sens de l'art. 309 CPP (ATF 146 IV 30 consid. 1.1.2 ; TF 6B_217/2025 précité, ibid., et les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6B_217/2025 précité, ibid., et les références citées). Une telle obligation signifie que le destinataire doit, le cas échéant, désigner un représentant, faire suivre son courrier, informer les autorités de son 12J010</w:t>
      </w:r>
    </w:p>
    <w:p>
      <w:r>
        <w:t>- 8 - absence ou leur indiquer une adresse de notification (ATF 146 IV 30 consid.</w:t>
      </w:r>
    </w:p>
    <w:p>
      <w:r>
        <w:rPr>
          <w:b/>
        </w:rPr>
        <w:t>E. 3.3</w:t>
      </w:r>
    </w:p>
    <w:p>
      <w:r>
        <w:t>En l’espèce, les moyens soulevés par le recourant impliquent de trancher préalablement la question de la validité de la notification de l'ordonnance pénale. En effet, une partie qui omet de retirer un pli à l’office postal ne saurait, de bonne foi, se plaindre ultérieurement de la teneur de la décision contenue dans ce pli. Avant dessaisissement en faveur des autorités vaudoises en application des art. 31 al. 1 et 39 CPP (P. 4 et 5), le recourant a été entendu par la police du Canton des Grisons le 31 octobre 2025. A sa demande, il a été assisté d’une interprète. Celle-ci a traduit de l’allemand vers l’italien les questions des enquêteurs et de l’italien vers l’allemand les réponses apportées, comme il le relève du reste lui-même (mémoire de recours, let. h, p. 4 in initio). Le prévenu a expressément répondu par l’affirmative à la question de savoir s’il comprenait la traduction. De même, il a, lors de cette même audition, non moins expressément été informé que l’instruction pénale dirigée contre lui portait sur une infraction à la LEI, à savoir celle d’emploi d’étrangers sans autorisation au sens de l’art. 117 al. 1 de cette loi. Le prévenu admet qu’il est de langue italienne, tout en relevant maîtriser d’autres idiomes. A la faveur de la traduction, il est donc réputé avoir compris la nature et l’objet de l’enquête dirigée contre lui. Il se savait ainsi partie à la procédure. Il devait donc s'attendre à recevoir, dans ce cadre, des communications de la part des autorités, y compris un prononcé, 12J010</w:t>
      </w:r>
    </w:p>
    <w:p>
      <w:r>
        <w:t>- 9 - ce devoir valant durant toute la durée de la procédure. Dans ces conditions, il lui appartenait de prendre toutes ses dispositions pour recevoir en temps utile le courrier adressé à son adresse personnelle. Ainsi, la fiction de notification de l’art. 85 al. 4 let. a CPP s’applique. Dès lors, l'ordonnance pénale doit être réputée notifiée à son destinataire à l’échéance du délai de garde postal, soit à la date du 14 janvier 2026. Le délai d’opposition a ainsi commencé à courir le lendemain 15 janvier 2026 (art. 90 al. 1 CPP), pour venir à échéance le samedi 24 janvier 2026, terme reporté de plein droit au premier jour utile suivant, soit au lundi 26 janvier 2026 (art. 90 al. 2 CPP). Déposée le 27 janvier 2026 dans l’hypothèse la plus favorable au recourant, l’opposition est tardive et, partant irrecevable, pour autant même que l’écriture de ce même jour puisse être considérée comme valant opposition. Il s’ensuit que les moyens déduits par le recourant de l’art. 68 CPP ne sont pas déterminants pour l’issue du litige. C’est dès lors en vain qu’il excipe d’une prétendue allophonie en se prévalant de sa méconnaissance du français.</w:t>
      </w:r>
    </w:p>
    <w:p>
      <w:r>
        <w:rPr>
          <w:b/>
        </w:rPr>
        <w:t>E. 4</w:t>
      </w:r>
    </w:p>
    <w:p>
      <w:r>
        <w:t>En définitive, le recours doit être rejeté et le prononcé du 9 février 2026 confirmé.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12J010</w:t>
      </w:r>
    </w:p>
    <w:p>
      <w:r>
        <w:t>- 10 - Par ces motifs, la Chambre des recours pénale prononce : I. Le recours est rejeté. II. Le prononcé du 9 février 2026 est confirmé. III. Les frais d’arrêt, par 880 fr. (huit cent huitante francs), sont mis à la charge d’A.________. IV. L’arrêt est exécutoire. La présidente : Le greffier : Du Le présent arrêt, dont la rédaction a été approuvée à huis clos, est notifié, par l'envoi d'une copie complète, à : - Me Arbër Bllaca, avocat (pour A.________), - Ministère public central, et communiqué à : - M. le Président du Tribunal de police de l’arrondissement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