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PE25.025872 vom 5. Mai 2026</w:t>
      </w:r>
    </w:p>
    <w:p>
      <w:r>
        <w:t>VD Tribunal cantonal, 2026-05-05, FR</w:t>
      </w:r>
    </w:p>
    <w:p>
      <w:r>
        <w:rPr>
          <w:b/>
        </w:rPr>
        <w:t xml:space="preserve">Quelle: </w:t>
      </w:r>
      <w:r>
        <w:t>https://mcp.opencaselaw.ch/entscheid/vd_gerichte_PE25.025872</w:t>
      </w:r>
    </w:p>
    <w:p>
      <w:r>
        <w:t>FR: VD_GERICHTE PE25.025872 du 5 mai 2026</w:t>
      </w:r>
    </w:p>
    <w:p>
      <w:r>
        <w:t>IT: VD_GERICHTE PE25.025872 del 5 maggio 2026</w:t>
      </w:r>
    </w:p>
    <w:p>
      <w:pPr>
        <w:pStyle w:val="Heading2"/>
      </w:pPr>
      <w:r>
        <w:t>Erwägungen</w:t>
      </w:r>
    </w:p>
    <w:p>
      <w:r>
        <w:rPr>
          <w:b/>
        </w:rPr>
        <w:t>E. 1</w:t>
      </w:r>
    </w:p>
    <w:p>
      <w:r>
        <w:t>12J010</w:t>
      </w:r>
    </w:p>
    <w:p>
      <w:r>
        <w:t>- 4 -</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et dans les formes prescrites auprès de l’autorité compétente, le recours est recevable à la forme. Plusieurs aspects sur la validité du recours, en lien avec la qualité pour recourir, doivent toutefois être examinés, le recourant, B.________, étant un enfant mineur, assisté d’un conseil de choix.</w:t>
      </w:r>
    </w:p>
    <w:p>
      <w:r>
        <w:rPr>
          <w:b/>
        </w:rPr>
        <w:t>E. 2.1</w:t>
      </w:r>
    </w:p>
    <w:p>
      <w:r>
        <w:t>Dans la partie « recevabilité » (p. 2) de son recours, le recourant soutient qu’étant directement concerné par les faits dénoncés, lesquels portent atteinte à son intégrité corporelle et sexuelle, il revêt ainsi la qualité de victime au sens de la loi et dispose d’un intérêt juridiquement protégé à l’annulation de la décision entreprise.</w:t>
      </w:r>
    </w:p>
    <w:p>
      <w:r>
        <w:rPr>
          <w:b/>
        </w:rPr>
        <w:t>E. 2.2.1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(ATF 144 IV 81 consid. 2.3.1 et les références citées), ce qui n'est pas le cas lorsqu'il est touché par un simple effet réflexe (ATF 145 IV 161 consid. 3.1). Dans le cadre des voies de droit instituées par le CPP, un simple intérêt de fait ne suffit pas à conférer la qualité pour recourir (ATF 145 IV 161 précité consid. 3.1 ; TF 7B_12/2021 du 11 septembre 2023 et les arrêts cités). Le recourant doit ainsi établir que la décision attaquée viole une règle de droit qui a pour but 12J010</w:t>
      </w:r>
    </w:p>
    <w:p>
      <w:r>
        <w:t>- 5 - de protéger ses intérêts et qu'il peut en conséquence en déduire un droit subjectif (ATF 145 IV 161 précité consid. 3.1 ; TF 7B_51/2024 du 25 avril 2024 consid. 2.2.1 et les références citées). Une partie qui n'est pas concrètement lésée par la décision n'a donc pas la qualité pour recourir et son recours doit être déclaré irrecevable (ATF 144 IV 81 précité consid. 2.3.1).</w:t>
      </w:r>
    </w:p>
    <w:p>
      <w:r>
        <w:rPr>
          <w:b/>
        </w:rPr>
        <w:t>E. 2.2.2</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La notion de lésé est définie à l'art. 115 al. 1 CPP. Il s'agit de toute personne dont les droits ont été touchés directement par une infraction (ATF 147 IV 269 consid. 3.1 ; ATF 145 IV 491 consid. 2.3). Lorsque la norme protège un bien juridique individuel, la qualité de lésé appartient au titulaire de ce bien (ATF 141 IV 1 consid. 3.1 ; ATF 138 IV 256 consid. 2.3 ; ATF 129 IV 95 consid. 3.1 ; ATF 126 IV 42 consid. 2a ; ATF 117 la 135 consid. 2a ; Perrier Depeursinge, in : Kuhn/Jeanneret/Perrier Depeursinge [édit.], Commentaire romand, Code de procédure pénale suisse, 2e éd., Bâle 2019, nn. 6 et 8 ad art. 115 CPP). Pour être directement touché, le lésé doit subir une atteinte en rapport de causalité directe avec l'infraction poursuivie, ce qui exclut les dommages par ricochet (TF 7B_587/2023 précité consid. 2.2.3 et les références citées ; TF 7B_11/2023 du 27 septembre 2023 consid. 3.2.1).</w:t>
      </w:r>
    </w:p>
    <w:p>
      <w:r>
        <w:rPr>
          <w:b/>
        </w:rPr>
        <w:t>E. 2.2.3</w:t>
      </w:r>
    </w:p>
    <w:p>
      <w:r>
        <w:t>La qualité pour recourir au sens de l'art. 382 al. 1 CPP suppose ainsi notamment, pour une personne physique ou morale, qu'elle dispose, outre de la qualité de partie (art. 104 et 105 CPP), de la capacité d'ester en justice – à savoir de la faculté d'accomplir valablement des actes de procédure – et, partant, de l'exercice des droits civils (art. 106 al. 1 CPP ; TF 7B_21/2023, 7B_22/2023, 7B_23/2023 du 1er octobre 2024 consid. 3.2.1). En application de l’art. 13 CC (Code civil suisse du 10 décembre 1907 ; RS 210), toute personne majeure et capable de discernement a l’exercice des droits civils. Aux termes de l’art. 16 CC, toute personne qui 12J010</w:t>
      </w:r>
    </w:p>
    <w:p>
      <w:r>
        <w:t>- 6 - n’est pas privée de la faculté d’agir raisonnablement en raison de son jeune âge, de déficience mentale, de troubles psychiques, d’ivresse ou d’autres causes semblables est capable de discernement au sens de la présente loi. Selon l’art. 17 CC, les personnes incapables de discernement, les mineurs et les personnes sous curatelle de portée générale n’ont pas l’exercice des droits civils. Aux termes de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Parmi les droits procéduraux figurent notamment le droit de faire recours et de déposer une plainte (Moreillon/Parein-Reymond, Petit Commentaire du Code de procédure pénale, 3e éd., Bâle 2025, n. 9 ad art. 106 CPP et la référence citée). En règle générale, la capacité de discernement est considérée comme acquise dès l’âge de 14-16 ans (Scheidegger, Minderjährige als Zeugen und Auskunftspersonen im Strafverfahren, 2006, pp. 106 s., cité in : TF 6B_1148/2021 du 23 juin 2023 consid. 1.4.3), voire dès l'âge de 12 ans (Moreillon/Parein-Reymond, op. cit., n. 3 ad art. 106 CPP ; Bendani, in : Jeanneret et al. [éd.], Commentaire romand, Code de procédure pénale suisse, 2e éd., Bâle 2019, n. 7 ad art. 106 CPP et les références citées).</w:t>
      </w:r>
    </w:p>
    <w:p>
      <w:r>
        <w:rPr>
          <w:b/>
        </w:rPr>
        <w:t>E. 2.2.4</w:t>
      </w:r>
    </w:p>
    <w:p>
      <w:r>
        <w:t>Une personne qui n’a pas l’exercice des droits civils est représentée par son représentant légal (art. 106 al. 2 CPP). L’enfant est soumis, pendant sa minorité, à l’autorité parentale conjointe de ses père et mère (art. 296 al. 2 CC) et ceux-ci sont, dans les limites de leur autorité parentale, les représentants légaux de leurs enfants à l’égard des tiers (art. 304 al. 1 CC). A teneur de l’art. 306 CC, si les père et mère sont empêchés d’agir ou si, dans une affaire, leurs intérêts entrent en conflit avec ceux de 12J010</w:t>
      </w:r>
    </w:p>
    <w:p>
      <w:r>
        <w:t>- 7 - l’enfant, l’autorité de protection de l’enfant nomme un curateur ou prend elle-même les mesures nécessaires (al. 2). L’existence d’un conflit d’intérêts entraîne de plein droit la fin des pouvoirs des père et mère pour l’affaire en cause (al. 3). Un conflit d’intérêts existe aussi bien dans les cas où les intérêts du mineur se heurtent directement à ceux du représentant légal que dans celui où le mineur est impliqué par rapport à un tiers, tiers avec lequel le représentant légal entretient des liens qui compromettent sa faculté de défendre, avec toute l’objectivité et l’impartialité requise, les intérêts de l’enfant (Meier/Stettler, Droit de la filiation, 6e éd., Zurich 2019, nn. 939 à 942, pp. 624-626 et les références citées). L’existence d’un conflit d’intérêts s’examine de manière abstraite (Chappuis, in : Pichonnaz/Foëx/ Fountoulakis [édit.], Commentaire romand, Code civil I, Art. 1-456 CC, 2e éd., Bâle 2024 [ci-après : CR CC I], n. 7 ad. art. 306 CC ; Schwenzer/Cottier, in : Geiser/ Fountoulakis [édit.], Basler Kommentar, Zivilgesetzbuch I, 7e éd., Bâle 2022 [ci-après : BSK ZBG I], n. 4 ad art. 306 CC et les références citées). En d’autres termes, une mise en danger abstraite des intérêts de l’enfant suffit (cf. également ATF 145 III 393). Pour une partie de la doctrine, la mère ne serait pas habilitée à représenter l’enfant dans le cadre d’une procédure pénale introduite contre le père, et cela même après le divorce (Hegnauer, Kann die Mutter das Kind im Strafverfahren gegen den Vater vertreten ?, in : ZVW/RDT 1994, pp. 152 ss, spéc. pp. 153-154 ; cf. notamment CREP 7 juin 2023/276 et les références citées). En présence d’un conflit d’intérêts, le parent concerné n’a plus le pouvoir de représenter l’enfant, même si un curateur ad litem n’a pas encore été désigné (TF 6B_707/2014 du 18 décembre 2014 consid. 1.3.2 et les références citées ; Schwenzer/Cottier, BSK ZGB I, op. cit., n. 6 ad art. 306 CC), et ne dispose donc pas qualité pour recourir au nom de l’enfant (CREP 2 septembre 2021/753, CREP 1er mars 2021/198 consid. 2.4 ; CREP 1er février 2019/42 consid. 2.2.1 ; CREP 8 janvier 2016/22 consid. 2.4). Lorsqu’une curatelle de représentation est instituée, le pouvoir de représentation conféré au curateur en raison d'un conflit d'intérêts entre les parents et les enfants est exclusif de celui du représentant légal (TF 12J010</w:t>
      </w:r>
    </w:p>
    <w:p>
      <w:r>
        <w:t>- 8 - 7B_330/2024 du 25 avril 2024 consid. 2.3.1 ; TF 7B_170/2023 du 11 novembre 2023 consid. 2.4 et les références citées ; TF 5A_382/2021 du 20 avril 2022 consid.3.3).</w:t>
      </w:r>
    </w:p>
    <w:p>
      <w:r>
        <w:rPr>
          <w:b/>
        </w:rPr>
        <w:t>E. 2.3.1</w:t>
      </w:r>
    </w:p>
    <w:p>
      <w:r>
        <w:t>En l’espèce, l’enfant B.________ n’est pas partie à la procédure. Il est par ailleurs né le ***2020 et est âgé de seulement 6 ans. Compte tenu de son jeune âge, il ne dispose ni de l’exercice des droits civils, ni de la capacité de discernement. N’ayant pas agi par l’intermédiaire d’un représentant légal, il ne pouvait ainsi pas recourir seul (art.106 al. 1 et 3 CPP). Partant, le recours doit être déclaré irrecevable en tant qu’il est déposé au nom de l’enfant B.________.</w:t>
      </w:r>
    </w:p>
    <w:p>
      <w:r>
        <w:rPr>
          <w:b/>
        </w:rPr>
        <w:t>E. 2.3.2</w:t>
      </w:r>
    </w:p>
    <w:p>
      <w:r>
        <w:t>Par ailleurs, même si le recourant avait été représenté par sa mère, C.________, représentante légale, le recours aurait également dû être déclaré irrecevable, dès lors que, s’agissant d’une procédure dirigée contre son père, il ne pouvait pas être représenté par sa mère (cf. CREP du 4 mars 2024/181). En effet, il ressort du dossier que D.________ a vu son droit de visite sur son fils limité durant la procédure pénale. Il y a clairement un contentieux entre les parents autour de leur enfant. Dans ces conditions, force est de constater l’existence d’un conflit d’intérêts, à tout le moins abstrait. Conformément à la jurisprudence rappelée ci-dessus (cf. supra consid. 2.2.4) et compte tenu du conflit d’intérêt susmentionné, la mère de l’enfant, même si elle est cotitulaire de l’autorité parentale, n’aurait pas pu représenter son enfant dans la procédure pénale dirigée contre l’autre parent ni, par conséquent, déposer un recours en son nom.</w:t>
      </w:r>
    </w:p>
    <w:p>
      <w:r>
        <w:rPr>
          <w:b/>
        </w:rPr>
        <w:t>E. 3</w:t>
      </w:r>
    </w:p>
    <w:p>
      <w:r>
        <w:t>En définitive, le recours doit être déclaré irrecevable. Le recours étant dépourvu de chance de succès, la requête d’assistance judiciaire et de désignation d’un conseil juridique gratuit pour la procédure de recours doit être rejetée (art. 136 al. 1 let. b CPP). 12J010</w:t>
      </w:r>
    </w:p>
    <w:p>
      <w:r>
        <w:t>- 9 - Compte tenu de l’âge du recourant, les frais de la procédure de recours, constitués du seul émolument d’arrêt (art. 422 al. 1 CPP), par 880 fr. (art. 20 al. 1 TFIP [tarif des frais de procédure et indemnités en matière pénale du 28 septembre 2010 ; BLV 312.03.1]), seront exceptionnellement laissés à la charge de l’Etat. Par ces motifs, la Chambre des recours pénale prononce : I. Le recours est irrecevable. II. La requête d’assistance est rejetée. III. Les frais d’arrêt, par 880 fr. (huit cent huitante francs), sont laissés à la charge de l’Etat. IV. L’arrêt est exécutoire. La présidente : La greffière : Du Le présent arrêt, dont la rédaction a été approuvée à huis clos, est notifié, par l'envoi d'une copie complète, à : - Me Zakia Arnouni, avocate (pour B.________), - Me Jean-Christophe Oberson, avocat (pour D.________), - Ministère public central, et communiqué à : - Mme la Procureure de l’arrondissement de Lausanne, 12J010</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