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PE25.025602 vom 12. Dezember 2025</w:t>
      </w:r>
    </w:p>
    <w:p>
      <w:r>
        <w:t>VD Tribunal cantonal, 2025-12-12, FR</w:t>
      </w:r>
    </w:p>
    <w:p>
      <w:r>
        <w:rPr>
          <w:b/>
        </w:rPr>
        <w:t xml:space="preserve">Quelle: </w:t>
      </w:r>
      <w:r>
        <w:t>https://mcp.opencaselaw.ch/entscheid/vd_gerichte_PE25.025602</w:t>
      </w:r>
    </w:p>
    <w:p>
      <w:r>
        <w:t>FR: VD_GERICHTE PE25.025602 du 12 décembre 2025</w:t>
      </w:r>
    </w:p>
    <w:p>
      <w:r>
        <w:t>IT: VD_GERICHTE PE25.025602 del 12 dicembre 2025</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12J010</w:t>
      </w:r>
    </w:p>
    <w:p>
      <w:r>
        <w:t>- 5 -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un détenu qui a qualité pour recourir (art. 382 al. 1 CPP), dans le délai et les formes prescrites (art. 385 al. 1 et 396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prévues par l’art. 221 al. 1 CPP sont alternatives et non cumulatives (TF 7B_386/2024 du 30 avril 2024 consid. 2.3). 12J010</w:t>
      </w:r>
    </w:p>
    <w:p>
      <w:r>
        <w:t>- 6 -</w:t>
      </w:r>
    </w:p>
    <w:p>
      <w:r>
        <w:rPr>
          <w:b/>
        </w:rPr>
        <w:t>E. 3.1</w:t>
      </w:r>
    </w:p>
    <w:p>
      <w:r>
        <w:t>Le recourant ne conteste pas, à juste titre, l’existence de soupçons suffisants de commission d’infractions. Il conteste en revanche l’existence d’un risque de fuite. Il reproche au Tribunal des mesures de contrainte d’avoir apprécié sa situation de manière abstraite. Certes, son centre de vie se trouverait en France, mais il ne présenterait pas un profil permettant de retenir a priori une volonté de se soustraire à ses obligations : âgé de 26 ans actuellement, il aurait suivi une formation menant à l’obtention à 18 ans d’un baccalauréat d’électronicien et aurait régulièrement travaillé comme livreur, électricien, technicien en sécurité incendie, « dispatcheur » ou chauffeur VTC ; il entretiendrait de bonnes relations avec sa famille et aurait des projets de mariage avec sa fiancée, ce qui témoignerait de sa motivation, de son sérieux et de sa détermination. Il aurait également exprimé à plusieurs reprises un sentiment de culpabilité envers la victime, notamment lors de son audition du 28 novembre 2025. Le recourant invoque également avoir admis « tous les faits qui pouvaient lui être reprochés, y compris ceux antérieurs au jour de son interpellation le 27 novembre 2025 » et collaboré à l’instruction dès le début, en autorisant spontanément l’extraction des données de son téléphone portable, en renonçant à la mise sous scellés de ces dernières et en acceptant sans réserve le principe d’un dédommagement de la victime. Enfin, son casier judiciaire serait vierge, aussi bien en Suisse qu’en France, de sorte que la peine encourue ne pourrait qu’être assortie d’un sursis complet.</w:t>
      </w:r>
    </w:p>
    <w:p>
      <w:r>
        <w:rPr>
          <w:b/>
        </w:rPr>
        <w:t>E. 3.2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3e éd., Bâle 2025, n. 16 ad art. 221 CPP et les références citées). Selon la jurisprudence, le risque de fuite doit s'analyser en fonction d'un ensemble de critères, tels que le caractère de l'intéressé, sa moralité, ses ressources, 12J010</w:t>
      </w:r>
    </w:p>
    <w:p>
      <w:r>
        <w:t>- 7 -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3.3</w:t>
      </w:r>
    </w:p>
    <w:p>
      <w:r>
        <w:t>L’argumentation du recourant n’est pas convaincante. Celui-ci se borne à formuler des déclarations non étayées. À ce stade, on ne dispose d’aucune information fiable sur sa situation personnelle, familiale et professionnelle en France. En outre, il apparaît très vraisemblable que le recourant se soit rendu en Suisse uniquement pour y commettre des infractions, celui-ci n’ayant pas justifié de manière concrète sa présence dans ce pays et il a d’ailleurs reconnu qu’il ne connaissait personne. Quant au récit de sa rencontre avec deux inconnus suite à une collision, aux menaces dont il aurait été victime et aux allers et retours entre W*** et la Suisse qu’il aurait été forcé d’accomplir, il se révèle fort peu crédible. D’ailleurs, comme les enquêteurs l’ont relevé lors de l’audition du 27 novembre 2025, si ce récit était vrai, on pourrait alors se demander pour quelle raison le prévenu n’aurait pas profité de son interpellation pour bénéficier de la protection de la police, en exposant d’emblée qu’il était sous l’emprise d’autres personnes. Pour le surplus, on ne peut que confirmer l’appréciation du Tribunal des mesures de contrainte. En effet, le recourant est un ressortissant français, qui vit et travaille à W***, où résident du reste ses proches. Il ne possède aucune attache avec la Suisse, où il est arrivé selon ses dires le 18 novembre dernier, dans l’optique d’y passer une semaine afin de « se détendre », voire de « trouver une opportunité de travail » (PV aud. 2, R. 7 ; PV aud. 3, ll. 46-54, 59-77 et 121- 136). Partant, au vu des faits qui lui sont reprochés, il y a fortement à craindre qu’en cas de libération, le prévenu se soustraira aux poursuites 12J010</w:t>
      </w:r>
    </w:p>
    <w:p>
      <w:r>
        <w:t>- 8 - pénales engagées contre lui, en se réfugiant en France, pays qui n’extrade pas ses ressortissants. Le risque de fuite est donc avéré et le moyen doit être rejeté.</w:t>
      </w:r>
    </w:p>
    <w:p>
      <w:r>
        <w:rPr>
          <w:b/>
        </w:rPr>
        <w:t>E. 4.1</w:t>
      </w:r>
    </w:p>
    <w:p>
      <w:r>
        <w:t>Dans un deuxième moyen, le recourant conteste l’existence d’un risque de collusion. Là encore, il affirme que le risque serait purement abstrait. Dans l’hypothèse où il aurait agi avec des complices, il ne serait pas en mesure d’interférer dans leur identification. En outre, pour le cas où il devrait s’agir d’un réseau, ses commanditaires auraient à l’évidence pris toutes les précautions pour ne pas être identifiés. Il serait en effet notoire que les membres d’un tel réseau ne communiquent qu’au moyen de téléphones portables anonymes et de messageries cryptées, toute communication étant coupée instantanément avec les personnes dont ils perdent le contact, précisément pour ne pas faire l’objet eux-mêmes d’une arrestation. Il en découlerait qu’en cas de libération, le recourant n’aurait aucune possibilité concrète de prendre contact avec ses éventuels comparses.</w:t>
      </w:r>
    </w:p>
    <w:p>
      <w:r>
        <w:rPr>
          <w:b/>
        </w:rPr>
        <w:t>E. 4.2</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En tant que motif de détention avant jugement, le danger de collusion vise à empêcher le prévenu de mettre en danger la recherche de la vérité (ATF 132 I 21 consid. 3.2 ; TF 7B_882/2025 du 10 octobre 2025 consid. 2.4.2 ; TF 7B_337/2025 du 8 mai 2025 consid. 3.2.1).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12J010</w:t>
      </w:r>
    </w:p>
    <w:p>
      <w:r>
        <w:t>- 9 -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et l'arrêt cité ; TF 7B_882/2025 précité consid. 2.4.2 et les arrêts cités).</w:t>
      </w:r>
    </w:p>
    <w:p>
      <w:r>
        <w:rPr>
          <w:b/>
        </w:rPr>
        <w:t>E. 4.3</w:t>
      </w:r>
    </w:p>
    <w:p>
      <w:r>
        <w:t>Là encore, on ne peut pas suivre l’argumentation du recourant. À ce stade très précoce et crucial de l’enquête, il apparaît que celui-ci a agi en compagnie (ou sous la contrainte, même si c’est très peu vraisemblable) de deux personnes. Il est donc essentiel de laisser un peu de temps aux enquêteurs pour localiser et/ou identifier ces complices. Le résultat de l’analyse des données extraites du téléphone portable en possession du prévenu est de nature à leur fournir des indices permettant de progresser dans cette voie. Il en va de même de l’examen des extraits de compte des victimes et des images de vidéosurveillance des établissements où des retraits frauduleux ont été effectués. Le résultat des investigations précitées pourrait donc être compromis si le recourant venait à être remis en liberté. Par conséquent, à ce stade, le risque de collusion est avéré et le moyen doit être rejeté.</w:t>
      </w:r>
    </w:p>
    <w:p>
      <w:r>
        <w:rPr>
          <w:b/>
        </w:rPr>
        <w:t>E. 5</w:t>
      </w:r>
    </w:p>
    <w:p>
      <w:r>
        <w:t>Dans un troisième moyen, le recourant conteste l’existence d’un risque de réitération. Or, le Tribunal des mesures de contrainte a renoncé à examiner ce risque comme motif de la détention provisoire et a retenu uniquement l’existence des risques de fuite et de collusion, étant rappelé que les motifs de détention sont alternatifs et que dès lors, l’existence des risques précités dispensait le Tribunal des mesures de contrainte d’examiner si la détention provisoire s’imposait également en raison d’un 12J010</w:t>
      </w:r>
    </w:p>
    <w:p>
      <w:r>
        <w:t>- 10 - risque de récidive. Les considérations concernant le risque de réitération sont donc non pertinentes.</w:t>
      </w:r>
    </w:p>
    <w:p>
      <w:r>
        <w:rPr>
          <w:b/>
        </w:rPr>
        <w:t>E. 6.1</w:t>
      </w:r>
    </w:p>
    <w:p>
      <w:r>
        <w:t>Dans un dernier moyen, le recourant reproche au Tribunal des mesures de contrainte d’avoir rejeté sa proposition de mesures de substitution, à savoir la conservation par les autorités de poursuite pénale de ses documents d’identité et autres documents officiels saisis lors de son interpellation, l’obligation de se présenter régulièrement à un service administratif, soit la gendarmerie la plus proche de son domicile, ou à un poste de police en Suisse et l’interdiction d’entretenir tout contact avec toute autre personne concernée par les infractions qui lui sont reprochées. Dans la mesure où le recourant se serait montré collaborant dès le début de l’enquête et où il ne serait exposé qu’à une peine assortie d’un sursis complet, ces contraintes seraient suffisantes pour l’empêcher de se soustraire à la justice. En effet, les autorités pourraient réagir rapidement et notamment le signaler au RIPOL, ce qui l’empêcherait d’entrer ou de transiter en Suisse et l’empêcherait de trouver une activité salariée en Suisse. De plus, il serait arbitraire de retenir d’emblée une absence de volonté de sa part de ne pas respecter ces éventuelles mesures de substitution, alors qu’il aurait précisément démontré sa bonne volonté à l’égard des enquêteurs.</w:t>
      </w:r>
    </w:p>
    <w:p>
      <w:r>
        <w:rPr>
          <w:b/>
        </w:rPr>
        <w:t>E. 6.2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12J010</w:t>
      </w:r>
    </w:p>
    <w:p>
      <w:r>
        <w:t>- 11 -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3e éd., Bâle 2025,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w:t>
      </w:r>
    </w:p>
    <w:p>
      <w:r>
        <w:rPr>
          <w:b/>
        </w:rPr>
        <w:t>E. 6.3</w:t>
      </w:r>
    </w:p>
    <w:p>
      <w:r>
        <w:t>Une fois encore, le raisonnement du recourant ne tient pas face au risque très concret et même évident qu’il soit tenté de fuir en France en cas d’éventuelle libération. Comme la première juge l’a justement relevé, ce pays n’extrade pas ses ressortissants et aucune des mesures proposées n’offre une véritable garantie à cet égard. En effet,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3.3 et 3.3.2 ; TF 7B_868/2023 du 1er décembre 2023 consid. 6.2 et les réf. cit.). Ces mesures ne sont en outre d’aucune utilité en cas de risque de collusion. Les mesures de substitution proposées par le recourant permettraient ainsi uniquement de constater a posteriori que les risques de fuite et de collusion se sont réalisés et non de les prévenir de manière efficace. 12J010</w:t>
      </w:r>
    </w:p>
    <w:p>
      <w:r>
        <w:t>- 12 - Le refus de mise en liberté moyennant des mesures de substitution doit donc être confirmé.</w:t>
      </w:r>
    </w:p>
    <w:p>
      <w:r>
        <w:rPr>
          <w:b/>
        </w:rPr>
        <w:t>E. 7</w:t>
      </w:r>
    </w:p>
    <w:p>
      <w:r>
        <w:t>Compte tenu de la gravité des actes reprochés, le recourant est manifestement exposé à une peine prévisible bien supérieure à la durée initiale de trois mois objet de la présente procédure de recours. Le principe de la proportionnalité (art. 212 al. 3 CPP) est ainsi pleinement respecté. En outre, le fait que la peine encourue puisse être assortie du sursis, total ou partiel, n'est pas déterminant sous l'angle de la proportionnalité (ATF 133 I 270 consid. 3.4.2).</w:t>
      </w:r>
    </w:p>
    <w:p>
      <w:r>
        <w:rPr>
          <w:b/>
        </w:rPr>
        <w:t>E. 8</w:t>
      </w:r>
    </w:p>
    <w:p>
      <w:r>
        <w:t>En définitive, le recours, manifestement mal fondé, doit être rejeté sans échange d’écritures (art. 390 al. 2 CPP) et l’ordonnance entreprise confirmée. Le recourant a sollicité l’assistance judiciaire et la désignation de Me François Chanson comme défenseur d’office pour la procédure de recours. Cette requête est superflue. En effet, le droit à une défense d’office vaut pour toutes les étapes de la procédure et la défense d’office ne prend fin qu’à l’épuisement des voies de droit régies par le CPP, l’assistance judiciaire pour la procédure devant le Tribunal fédéral faisant en revanche l’objet d’une nouvelle décision de ce dernier (art. 64 LTF [Loi du 17 juin 2005 sur le Tribunal fédéral ; RS 173.110]). Il n’y a ainsi pas matière à nouvelle désignation par l’autorité de recours d’un défenseur d’office déjà désigné par l’autorité inférieure. Compte tenu de la nature de l’affaire et de l’acte de recours déposé, l’indemnité allouée au défenseur d’office de B.________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12J010</w:t>
      </w:r>
    </w:p>
    <w:p>
      <w:r>
        <w:t>- 13 - 312.03.1]), par 10 fr. 80, plus la TVA au taux de 8,1 %, par 44 fr. 60, soit à 596 fr. au total en chiffres arrondis. Vu le sort du recours, les frais de la procédure, constitués en l’espèce de l’émolument d'arrêt, par 1’320 fr. (art. 20 al. 1 TFIP), et des frais imputables à la défense d’office de B.________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celle-ci le permette (art. 135 al. 4 CPP). Par ces motifs, la Chambre des recours pénale prononce : I. Le recours est rejeté. II. L’ordonnance du 29 novembre 2025 est confirmée. III. L’indemnité allouée au défenseur d’office de B.________ est fixée à 596 fr. (cinq cent nonante-six francs). IV. Les frais d’arrêt, par 1’320 fr. (mille trois cent vingt francs), sont mis à la charge de B.________. V. Le remboursement à l’Etat de l’indemnité allouée au chiffre III ci-dessus ne sera exigible que pour autant que la situation financière de B.________ le permette. VI. L’arrêt est exécutoire. Le président : La greffière : 12J010</w:t>
      </w:r>
    </w:p>
    <w:p>
      <w:r>
        <w:t>- 14 - Du Le présent arrêt, dont la rédaction a été approuvée à huis clos, est notifié, par l'envoi d'une copie complète, à : - François Chanson, avocat (pour B.________), - Ministère public central, et communiqué à : - Mme la Présidente du Tribunal des mesures de contrainte,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