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PE25.024531 vom 23. Dezember 2025</w:t>
      </w:r>
    </w:p>
    <w:p>
      <w:r>
        <w:t>VD Tribunal cantonal, 2025-12-23, FR</w:t>
      </w:r>
    </w:p>
    <w:p>
      <w:r>
        <w:rPr>
          <w:b/>
        </w:rPr>
        <w:t xml:space="preserve">Quelle: </w:t>
      </w:r>
      <w:r>
        <w:t>https://mcp.opencaselaw.ch/entscheid/vd_gerichte_PE25.024531</w:t>
      </w:r>
    </w:p>
    <w:p>
      <w:r>
        <w:t>FR: VD_GERICHTE PE25.024531 du 23 décembre 2025</w:t>
      </w:r>
    </w:p>
    <w:p>
      <w:r>
        <w:t>IT: VD_GERICHTE PE25.024531 del 23 dicembre 2025</w:t>
      </w:r>
    </w:p>
    <w:p>
      <w:pPr>
        <w:pStyle w:val="Heading2"/>
      </w:pPr>
      <w:r>
        <w:t>Erwägungen</w:t>
      </w:r>
    </w:p>
    <w:p>
      <w:r>
        <w:rPr>
          <w:b/>
        </w:rPr>
        <w:t>E. 4.1</w:t>
      </w:r>
    </w:p>
    <w:p>
      <w:r>
        <w:t>La recourante conteste l’existence d’un risque de collusion. Elle affirme que l’argumentation du premier juge est arbitraire, dans la mesure où elle et sa comparse se sont longuement expliquées par-devant la police puis par-devant le Ministère public, en donnant tous les détails de leurs agissements, lesquels concordent au demeurant avec les constatations effectuées par la police. Son implication et celle de C.________ auraient déjà été circonscrites et elle ne connaitrait pas l’identité ou la localisation des membres du réseau, étant précisé qu’elle n’avait elle-même aucun contact direct avec un membre du réseau. Elle n’aurait en outre aucun moyen d’entrer en contact avec ces personnes. Par ailleurs, le premier juge ne rendrait aucunement vraisemblable le risque d’altération de preuves et, outre les mesures préconisées par la police, soit l’extraction et l’analyse des téléphones portables, le passage des deux prévenues aux mesures signalétiques et l’analyse de la drogue, le Tribunal des mesures de contrainte ne mentionnerait aucune autre mesure d’instruction en cours ou à intervenir.</w:t>
      </w:r>
    </w:p>
    <w:p>
      <w:r>
        <w:rPr>
          <w:b/>
        </w:rPr>
        <w:t>E. 4.2</w:t>
      </w:r>
    </w:p>
    <w:p>
      <w:r>
        <w:t>; ATF 132 I 21 consid. 3.2 ; TF 7B_337/2025 du 8 mai 2025 consid. 3.2.1 et les références citées).</w:t>
      </w:r>
    </w:p>
    <w:p>
      <w:r>
        <w:rPr>
          <w:b/>
        </w:rPr>
        <w:t>E. 4.3</w:t>
      </w:r>
    </w:p>
    <w:p>
      <w:r>
        <w:t>En l’espèce, s’il apparaît certes que la recourante a reconnu, à tout le moins pour l’essentiel, les faits qui lui sont reprochés, elle ne peut être crue sur parole lorsqu’elle affirme que ses aveux sont complets et qu’elle ne connaît rien du réseau criminel qui l’aurait employée. S’agissant de l’identité de la ou des personnes qui lui remettaient les stupéfiants qu’elle et C.________ étaient chargées de transporter, la recourante a indiqué qu’elles rencontraient systématiquement le même « type […] blanc, pays des V*** », à U***, lequel n’avait toutefois jamais voulu leur donner son prénom. Elle l’a décrit comme « pas grand […] maigre et […] souvent habillé en blanc ». Il ne parlait « pas français, ou très vaguement » (PV aud. 1). La recourante a déclaré qu’elle ressentait une forme de peur, instillée de manière « assez implicite, du genre on n’a pas intérêt à parler » (ibidem). Ainsi, l’hypothèse selon laquelle elle n’a pas dit tout ce qu’elle sait des personnes impliquées dans le trafic incriminé est suffisamment sérieuse pour que l’on doive concrètement redouter qu’elle tente, si elle devait être 12J010</w:t>
      </w:r>
    </w:p>
    <w:p>
      <w:r>
        <w:t>- 7 - remise en liberté, de prendre contact avec celles-ci pour les renseigner sur les éléments de l’enquête, notamment en se rendant à Genève – ville dans laquelle, à ses dires, les prévenues ont rencontré leur commanditaire lors d’une soirée (PV aud. 1) –, et qu’elle rende ainsi plus difficile l’élucidation des faits, voire l’interpellation des individus impliqués. On lui concèdera qu’elle a accepté que son téléphone portable soit perquisitionné, mais il importe de laisser aux enquêteurs, qui n’en sont qu’aux prémices de leurs investigations, le temps qui leur est nécessaire pour procéder à l’analyse des données qui en ont été extraites et de procéder aux mesures d’enquête qui s’imposent, sans que la recourante soit en situation d’interférer dans l’instruction. Il s’ensuit que c’est à bon droit que le Tribunal a retenu que le risque de collusion présenté par la recourante était suffisamment concret pour justifier que sa détention provisoire soit ordonnée.</w:t>
      </w:r>
    </w:p>
    <w:p>
      <w:r>
        <w:rPr>
          <w:b/>
        </w:rPr>
        <w:t>E. 5.1</w:t>
      </w:r>
    </w:p>
    <w:p>
      <w:r>
        <w:t>La recourante considère que le prononcé à son encontre de toute mesure de substitution utile, notamment le port d’un bracelet électronique muni d’un GPS, une assignation à résidence avec autorisation de sortie pour effectuer des recherches d’emploi et se rendre à son emploi, l’obligation d’effectuer des recherches d’emploi, l’interdiction de quitter la Suisse, l’interdiction de fréquenter et de contacter certaines personnes, notamment C.________ ou toute personne en lien avec la présente affaire, et l’interdiction de fréquenter certains lieux, comme Genève, permettrait de pallier le risque de collusion. Même si les mesures de substitution proposées devaient être rejetées, la recourante estime que la durée de la détention est excessive. Selon elle, une mise en détention pour une durée de deux semaines serait suffisante pour mettre en œuvre les mesures d’instruction évoquées ci- avant.</w:t>
      </w:r>
    </w:p>
    <w:p>
      <w:r>
        <w:rPr>
          <w:b/>
        </w:rPr>
        <w:t>E. 5.2.1</w:t>
      </w:r>
    </w:p>
    <w:p>
      <w:r>
        <w:t>Aux termes de l’art. 212 al. 2 let. c CPP, les mesures de contrainte entraînant une privation de liberté doivent être levées dès que des mesures de substitution permettent d’atteindre le même but. 12J010</w:t>
      </w:r>
    </w:p>
    <w:p>
      <w:r>
        <w:t>- 8 -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 TF 7B_337/2025 du 8 mai 2025 consid. 3.2.2).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 liste contenue dans cette disposition est exemplative et le juge de la détention peut également, le cas échéant, assortir les mesures de substitution de toute condition propre à en garantir l'efficacité (ATF 145 IV 503 consid. 3.1 ; TF 7B_337/2025 précité consid. 3.2.2). Du fait que les mesures de substitution sont un succédané à la détention provisoire, le tribunal doit les prononcer à la place de la détention provisoire ou pour des motifs de sûreté si elles permettent d’empêcher la concrétisation du risque (ATF 142 IV 367 consid. 2.1, SJ 2017 I 233 ; ATF 133 I 270 consid. 2.2 ; Coquoz, in : Jeanneret/Kuhn/Perrier Depeursinge [éd.], Commentaire romand, Code de procédure pénale suisse, 2e éd., Bâle 2019, n. 2 ad art. 237 CPP).</w:t>
      </w:r>
    </w:p>
    <w:p>
      <w:r>
        <w:rPr>
          <w:b/>
        </w:rPr>
        <w:t>E. 5.2.2</w:t>
      </w:r>
    </w:p>
    <w:p>
      <w:r>
        <w:t>Selon l’art. 212 al. 3 CPP, la détention provisoire ou pour des motifs de sûreté ne doit pas durer plus longtemps que la peine privative de liberté prévisible. Le principe de la proportionnalité postule que toute 12J010</w:t>
      </w:r>
    </w:p>
    <w:p>
      <w:r>
        <w:t>- 9 - personne qui est mise en détention avant jugement a le droit d'être jugée dans un délai raisonnable ou d'être libérée pendant la procédure pénale (art. 31 al. 3 Cst. et 5 § 3 CEDH [Convention de sauvegarde des droits de l’homme est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La proportionnalité de la détention provisoire doit être examinée au regard de l’ensemble des circonstances concrètes du cas d’espèce (ATF 145 IV 179 consid. 3.5). Le juge peut dès lors maintenir la détention provisoire aussi longtemps qu'elle n'est pas très proche de la durée de la peine privative de liberté à laquelle il faut s'attendre concrètement en cas de condamnation (ATF 145 IV 179 consid. 3.1 ; TF 7B_808/2025 du 11 septembre 2025 consid. 3.2 et les références citées).</w:t>
      </w:r>
    </w:p>
    <w:p>
      <w:r>
        <w:rPr>
          <w:b/>
        </w:rPr>
        <w:t>E. 5.3</w:t>
      </w:r>
    </w:p>
    <w:p>
      <w:r>
        <w:t>En l’espèce, contrairement à ce que la recourante prétend, les mesures de substitution qu’elle propose sont impropres à parer au risque de collusion. En particulier, le port d’un bracelet électronique muni d’un GPS, l’assignation à résidence avec autorisation de sortie pour effectuer des recherches d’emploi et se rendre à son emploi, l’obligation d’effectuer des recherches d’emploi et l’interdiction de quitter la Suisse n’ont de sens qu’au regard du risque de fuite, non examiné en l’espèce. Pour le surplus, au-delà du fait qu’on ne saurait, pour les motifs déjà évoqués ci-devant, croire la recourante sur parole quand elle affirme qu’elle n’est pas en mesure de contacter son commanditaire, le respect d’une interdiction de prendre contact avec sa complice ou toute personne en lien avec la présente affaire, ou l’interdiction de fréquenter certains lieux, comme Genève, ne reposerait que sur la bonne volonté de la recourante de s’y soumettre, ce qui est insuffisant, étant au demeurant relevé que toute violation, si tant est qu’elle puisse être constatée, ne pourrait l’être qu’a posteriori. Ces mesures n’offrent ainsi pas une garantie suffisante en regard 12J010</w:t>
      </w:r>
    </w:p>
    <w:p>
      <w:r>
        <w:t>- 10 - du risque de collusion constaté ci-devant (cf. TF 1B_431/2022 du 2 septembre 2022 consid. 2.3). En outre, une mise en détention pour une durée de trois mois est nécessaire pour permettre aux enquêteurs de procéder à une analyse approfondie des données extraites des téléphones portables des prévenues, pour réaliser les recoupements utiles, pour mener les investigations complémentaires que les découvertes qu’ils pourraient faire commanderont et pour confronter la recourante aux résultats produits par ces enquêtes. Elle est également proportionnée à la peine susceptible d’être prononcée à l’encontre de la recourante en cas de condamnation, celle-ci étant notamment soupçonnée d’infraction grave à la LStup (loi fédérale sur les stupéfiants et les substances psychotropes du 3 octobre 1951 ; RS 812.121), qui est sanctionnée par une peine privative de liberté d’un an au moins (art. 19 al. 2 LStup).</w:t>
      </w:r>
    </w:p>
    <w:p>
      <w:r>
        <w:rPr>
          <w:b/>
        </w:rPr>
        <w:t>E. 6</w:t>
      </w:r>
    </w:p>
    <w:p>
      <w:r>
        <w:t>Au vu de ce qui précède, le recours, manifestement mal fondé, doit être rejeté sans échange d’écritures (art. 390 al. 2 CPP) et l’ordonnance du 8 décembre 2025 confirmée. Le défenseur d’office de la recourante, Me Malika Belet, a produit une liste d’opérations et débours faisant état d’un temps consacré à la procédure de recours de 4h21. Il ressort de cette liste que la durée dévolue à la rédaction du recours s’élève à 3h30, ce qui est excessif dès lors qu’il s’agit d’une affaire usuelle, exempte de questions juridiques complexes. En outre, les 12 minutes annoncées pour la rédaction d’un bordereau de pièces ne peuvent être facturées à l’assistance judiciaire, étant un travail de pur secrétariat. Enfin, le courrier adressé à la Chambre de céans en accompagnement du recours, comptabilisé pour une durée de 12 minutes, est un courrier type qui ne contient pas de réflexion particulière. Il convient de réduire la durée totale annoncée pour la procédure de recours à 3 heures. Ainsi, l’indemnité de défenseur d’office doit être fixée à 540 fr., correspondant à une activité nécessaire d'avocat breveté de 3 heures au tarif horaire de 180 fr., montant auquel s'ajoutent des débours forfaitaires à concurrence de 2 % des honoraires admis (art. 3bis al. 1 RAJ [règlement 12J010</w:t>
      </w:r>
    </w:p>
    <w:p>
      <w:r>
        <w:t>- 11 - du 7 décembre 2010 sur l'assistance judiciaire en matière civile ; BLV 211.02.3], applicable par renvoi de l’art. 26b TFIP [tarif des frais de procédure et indemnités en matière pénale du 28 septembre 2010 ; BLV 312.03.1]), par 10 fr. 80, et la TVA au taux de 8,1 % sur le tout, par 44 fr. 61, soit à 596 fr. au total en chiffres arrondis. Les frais de la procédure de recours, constitués en l’espèce de l’émolument d’arrêt (art. 422 al. 1 CPP), par 1’100 fr. (art. 20 al. 1 TFIP), et des frais imputables à la défense d’office, par 596 fr., seront mis à la charge de la recourante, qui succombe (art. 428 al. 1 CPP). Le remboursement à l’Etat de l’indemnité allouée au défenseur d’office sera exigible de la recourante dès que sa situation financière le permettra (art. 135 al. 4 CPP). Par ces motifs, la Chambre des recours pénale prononce : I. Le recours est rejeté. II. L’ordonnance du 8 décembre 2025 est confirmée. III. L’indemnité allouée à Me Malika Belet, défenseur d’office d’A.________, est fixée à 596 fr. (cinq cent nonante-six francs). IV. Les frais d’arrêt, par 1’100 fr. (mille cent francs), ainsi que l’indemnité allouée à Me Malika Belet, par 596 fr. (cinq cent nonante-six francs), sont mis à la charge d’A.________. V. Le remboursement à l’Etat de l’indemnité allouée au chiffre III ci-dessus sera exigible d’A.________ dès que sa situation financière le permettra. VI. L’arrêt est exécutoire. La président : La greffière : 12J010</w:t>
      </w:r>
    </w:p>
    <w:p>
      <w:r>
        <w:t>- 12 - Du Le présent arrêt, dont la rédaction a été approuvée à huis clos, est notifié, par l'envoi d'une copie complète, à : - Me Malika Belet, avocate (pour A.________), - Ministère public central, et communiqué à : - M. le Président du Tribunal des mesures de contrainte, - Mme la Procureure cantonale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