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PE25.023477 vom 4. März 2026</w:t>
      </w:r>
    </w:p>
    <w:p>
      <w:r>
        <w:t>VD Tribunal cantonal, 2026-03-04, FR</w:t>
      </w:r>
    </w:p>
    <w:p>
      <w:r>
        <w:rPr>
          <w:b/>
        </w:rPr>
        <w:t xml:space="preserve">Quelle: </w:t>
      </w:r>
      <w:r>
        <w:t>https://mcp.opencaselaw.ch/entscheid/vd_gerichte_PE25.023477</w:t>
      </w:r>
    </w:p>
    <w:p>
      <w:r>
        <w:t>FR: VD_GERICHTE PE25.023477 du 4 mars 2026</w:t>
      </w:r>
    </w:p>
    <w:p>
      <w:r>
        <w:t>IT: VD_GERICHTE PE25.023477 del 4 marzo 2026</w:t>
      </w:r>
    </w:p>
    <w:p>
      <w:pPr>
        <w:pStyle w:val="Heading2"/>
      </w:pPr>
      <w:r>
        <w:t>Erwägungen</w:t>
      </w:r>
    </w:p>
    <w:p>
      <w:r>
        <w:rPr>
          <w:b/>
        </w:rPr>
        <w:t>E. 1</w:t>
      </w:r>
    </w:p>
    <w:p>
      <w:r>
        <w:t>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1.1</w:t>
      </w:r>
    </w:p>
    <w:p>
      <w:r>
        <w:t>Les parties peuvent attaquer une ordonnance de non-entrée en matière rendue par le Ministère public en application de l’art. 310 CPP dans les dix jours devant l’autorité de recours (art. 310 al. 2, 322 al. 2 et 396 al.</w:t>
      </w:r>
    </w:p>
    <w:p>
      <w:r>
        <w:rPr>
          <w:b/>
        </w:rPr>
        <w:t>E. 1.2</w:t>
      </w:r>
    </w:p>
    <w:p>
      <w:r>
        <w:t>Dans son premier acte, non daté, le recourant admet qu’il n’a pas respecté le délai de recours de dix jours, invoquant des « complications médicales » et des « opérations » qui l’auraient empêché d’agir. Cela étant, dans la mesure où la date de notification de l’ordonnance querellée n’est pas connue, celle-ci ayant été envoyée sous pli simple, il n’est pas possible d’affirmer avec certitude que le recours est effectivement tardif. Quoi qu’il en soit, cette question peut demeurer ouverte, le recours devant de toute manière être rejeté, dans la mesure de sa recevabilité, pour les motifs exposés ci-dessous.</w:t>
      </w:r>
    </w:p>
    <w:p>
      <w:r>
        <w:rPr>
          <w:b/>
        </w:rPr>
        <w:t>E. 2</w:t>
      </w:r>
    </w:p>
    <w:p>
      <w:r>
        <w:t>Le recours s’exerce par le dépôt d’un mémoire écrit et dûment motivé (art. 390 al. 1 et 396 al. 1 CPP). Les exigences de motivation du recours sont posées à l’art. 385 al. 1 CPP. Selon cette disposition, la 12J010</w:t>
      </w:r>
    </w:p>
    <w:p>
      <w:r>
        <w:t>- 5 -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 déposées devant l’instance précédente (TF 7B_1109/2025 du 15 décembre 2025 consid. 1.2.3 ; TF 7B_587/2023 du 11 septembre 2024 consid. 2.2.1 et les références citées ; TF 6B_1447/2022 du 14 mars 2023 consid. 1.1 et les références citées).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(TF 7B_1109/2025 précité ; TF 7B_587/2023 précité ; TF 6B_1447/2022 précité ; CREP 8 janvier 2026/33 consid. 1.3.2).</w:t>
      </w:r>
    </w:p>
    <w:p>
      <w:r>
        <w:rPr>
          <w:b/>
        </w:rPr>
        <w:t>E. 3</w:t>
      </w:r>
    </w:p>
    <w:p>
      <w:r>
        <w:t>Dans son premier acte, non daté, le recourant se limite à évoquer des « erreurs de taillage dentaire » et des « manipulations dentaires excessives », lesquelles lui auraient causé un important préjudice et auraient affecté sa santé (cf. P. 8). Dans son second acte, daté du 28 décembre 2025, il se borne à réitérer ses critiques relatives à son traitement dentaire, en indiquant qu’il produirait un « rapport d’expertise complémentaire établi par un expert dentiste indépendant » avant l’échéance du délai qui lui avait été imparti pour compléter son recours (cf. P. 10). Or, en l’espèce, le Ministère public a exposé les motifs pour lesquels les allégations du recourant relatives à un prétendu taillage excessif et inadapté de ses dents étaient contredites par le rapport de consultation du 12J010</w:t>
      </w:r>
    </w:p>
    <w:p>
      <w:r>
        <w:t>- 6 - 14 août 2025 de la Dre F.________. Dans ses écritures, le recourant ne développe aucune argumentation propre à infirmer ce raisonnement. Il ne fait, au contraire, que répéter sa propre version des faits, sans la confronter au contenu du rapport précité ni tenter de démontrer en quoi celui-ci aurait été mal interprété par le Ministère public. Il y a en outre lieu de relever que le recourant n’a finalement déposé aucun rapport d’expertise complémentaire dans le délai qui lui avait été imparti. Ainsi, non seulement son recours ne contient aucune démonstration propre à remettre en cause l’appréciation du Ministère public, mais il n’est appuyé par aucun élément nouveau susceptible de rendre plausible l’existence d’une atteinte à l’intégrité corporelle résultant de la violation des règles de l’art professionnel. Partant, il ne satisfait pas aux exigences de motivation de l’art. 385 al. 1 CPP. Certes, dans son second acte, daté du 28 décembre 2025, le recourant affirme que le fait qu’E.________ SA lui aurait proposé un montant de 3'000 à 4'000 fr. démontrerait qu’une « faute a été reconnue de manière implicite ». Cet argument ne lui est toutefois d’aucun secours. D’une part, il n’est étayé par aucune pièce. D’autre part, à supposer même qu’une telle proposition ait existé, elle ne constituerait pas encore, à elle seule, un indice de la commission d’une infraction pénale, en particulier de lésions corporelles simples par négligence au sens de l’art. 125 CP. À cet égard, il convient de rappeler que, selon la jurisprudence relative à l’art. 309 CPP, les indices relatifs à la commission d'une infraction impliquant l'ouverture d'une instruction doivent être importants et de nature concrète. De simples suppositions ne suffisent pas. Les indices doivent reposer sur une base factuelle plausible, laissant apparaître la possibilité concrète qu’une infraction ait été commise (ATF 141 IV 87 consid. 1.3.1 ; TF 6B_488/2021 du 22 décembre 2021 consid. 5.3 ; TF 6B_212/2020 du 21 avril 2021 consid. 2.2). Or, en l’occurrence, que ce soit dans sa plainte pénale ou dans ses actes de recours, le recourant se limite à des allégations péremptoires non étayées, ce qui est insuffisant pour justifier l’ouverture d’une instruction pénale. 12J010</w:t>
      </w:r>
    </w:p>
    <w:p>
      <w:r>
        <w:t>- 7 - Enfin, le recourant n’invoque aucun grief en lien avec la non- entrée en matière prononcée s’agissant de la plainte pénale qu’il a déposée contre le nommé « A.________ » pour « abus de confiance, gestion déloyale, fausses déclarations et atteinte à ses droits en lien avec la gestion de son dossier d’assurance ». Il y a donc lieu de considérer que ce point n’est pas contesté.</w:t>
      </w:r>
    </w:p>
    <w:p>
      <w:r>
        <w:rPr>
          <w:b/>
        </w:rPr>
        <w:t>E. 4</w:t>
      </w:r>
    </w:p>
    <w:p>
      <w:r>
        <w:t>Au vu de ce qui précède, le recours, manifestement mal fondé, doit être rejeté dans la mesure où il est recevable, sans échange d’écritures (art. 390 al. 2 CPP) et l’ordonnance entreprise confirmée. Les frais de la procédure de recours, constitués du seul émolument d’arrêt (art. 422 al. 1 CPP), par 770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L’ordonnance du 21 novembre 2025 est confirmée. III. Les frais d’arrêt, par 770 fr. (sept cent septante francs), sont mis à la charge de C.________. IV. L’arrêt est exécutoire. La présidente : Le greffier : 12J010</w:t>
      </w:r>
    </w:p>
    <w:p>
      <w:r>
        <w:t>- 8 - Du Le présent arrêt, dont la rédaction a été approuvée à huis clos, est notifié, par l'envoi d'une copie complète, à : - M. C.________,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