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PE25.023067 vom 5. Januar 2026</w:t>
      </w:r>
    </w:p>
    <w:p>
      <w:r>
        <w:t>VD Tribunal cantonal, 2026-01-05, FR</w:t>
      </w:r>
    </w:p>
    <w:p>
      <w:r>
        <w:rPr>
          <w:b/>
        </w:rPr>
        <w:t xml:space="preserve">Quelle: </w:t>
      </w:r>
      <w:r>
        <w:t>https://mcp.opencaselaw.ch/entscheid/vd_gerichte_PE25.023067</w:t>
      </w:r>
    </w:p>
    <w:p>
      <w:r>
        <w:t>FR: VD_GERICHTE PE25.023067 du 5 janvier 2026</w:t>
      </w:r>
    </w:p>
    <w:p>
      <w:r>
        <w:t>IT: VD_GERICHTE PE25.023067 del 5 gennaio 2026</w:t>
      </w:r>
    </w:p>
    <w:p>
      <w:pPr>
        <w:pStyle w:val="Heading2"/>
      </w:pPr>
      <w:r>
        <w:t>Erwägungen</w:t>
      </w:r>
    </w:p>
    <w:p>
      <w:r>
        <w:rPr>
          <w:b/>
        </w:rPr>
        <w:t>E. 2</w:t>
      </w:r>
    </w:p>
    <w:p>
      <w:r>
        <w:t>Cst. et 8 CEDH [Convention de sauvegarde des droits de l’homme et des libertés fondamentales du 4 novembre 1950 ; RS 0.101] ; ATF 147 I 372 consid. 2.2; 145 IV 263 consid. 3.4; TF 7B_1290/2024 du 30 juin 2025 consid. 3.2.2.1). Ces mesures doivent ainsi être fondées sur une base légale suffisamment claire et précise, être justifiées par un intérêt public et être proportionnées au but visé (cf. art. 36 al. 1 à 3 Cst.; ATF 147 I 372 consid. 2.3.3 ; TF 7B_1290/2024 précité). 12J010</w:t>
      </w:r>
    </w:p>
    <w:p>
      <w:r>
        <w:t>- 5 -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2.1.1</w:t>
      </w:r>
    </w:p>
    <w:p>
      <w:r>
        <w:t>Comme toute mesure de contrainte, le prélèvement d'un échantillon d'ADN et l'établissement d'un profil d'ADN sont de nature à porter atteinte au droit à la liberté personnelle (art. 10 al. 2 Cst. [Constitution fédérale de la Confédération suisse du 18 avril 1999 ; RS 101]) et à la protection contre l'emploi abusif de données personnelles (art. 13 al.</w:t>
      </w:r>
    </w:p>
    <w:p>
      <w:r>
        <w:rPr>
          <w:b/>
        </w:rPr>
        <w:t>E. 2.1.2</w:t>
      </w:r>
    </w:p>
    <w:p>
      <w:r>
        <w:t>Selon l’art. 255 al. 1 let. a CPP, pour élucider un crime ou un délit sur lequel porte la procédure,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si des indices concrets laissent présumer qu’il pourrait avoir commis d’autres crimes ou délits (art. 255 al. 1bis CPP ; Message du Conseil fédéral du 28 août 2019 concernant la modification du Code de procédure pénale, FF 2019 pp. 6351 ss, spéc. 6405 ; TF 7B_1290/2024 précité consid. 3.2.2.2). Selon la jurisprudence, l'établissement d'un profil d’ADN, qui ne sert pas à élucider une infraction pour laquelle une instruction pénale est en cours, est conforme au principe de la proportionnalité que s'il existe des indices sérieux et concrets que le prévenu pourrait être impliqué dans d'autres infractions. Il doit toutefois s'agir d'infractions d'une certaine gravité.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réaliser (ATF 147 I 372 consid. 3.2 ; 145 IV 263 précité et les références citées ; TF 7B_1290/2024 précité consid. 3.2.2.3 ; TF 7B_938/2024 du 31 mars 2025 consid. 2.1.3). L’art. 257 CPP, entré en vigueur le 1er janvier 2024, quant à lui, permet l’établissement d’un profil d’ADN dans le but d’élucider d’éventuelles infractions futures si une personne est condamnée pour un 12J010</w:t>
      </w:r>
    </w:p>
    <w:p>
      <w:r>
        <w:t>- 6 - crime ou un délit, si des indices concrets laissent présumer qu’elle pourrait commettre d’autres crimes ou délits. Sa teneur est la suivante : « Dans le jugement qu’il rend, le tribunal peut ordonner le prélèvement d’un échantillon et l’établissement d’un profil d’ADN sur une personne condamnée pour un crime ou un délit si des indices concrets laissent présumer qu’elle pourrait commettre d’autres crimes ou délits ». Ce n’est ainsi pas le Ministère public durant l’instruction, mais le tribunal qui rend le jugement (ou le Ministère public en procédure de l’ordonnance pénale) qui peut ordonner une telle mesure. En effet, l’établissement d’un profil d’ADN en vue d’élucider des infractions déjà commises (celle sur laquelle porte la procédure ou une autre) est une mesure répressive de droit procédural, tandis que l’établissement d’un profil ADN en vue d’élucider d’éventuelles infractions futures est une mesure préventive qui ne repose pas sur des soupçons, mais sur un pronostic. Or, les éléments permettant d’établir un tel pronostic sont réunis à la fin des débats ou de l’instruction, mais pas lorsque débute l’instruction (Message précité, FF 2019 pp. 6351 ss, spéc. 6405). Les art. 255 et 257 CPP, dans leur teneur au 1er janvier 2024, codifient la jurisprudence antérieure du Tribunal fédéral considérant comme illicite le fait d’établir systématiquement le profil d’ADN de tous les auteurs d’infractions (Message précité, FF 2019 pp. 6351 ss, spéc. 6369). Il s’impose ainsi d’examiner les conditions légales pour l’établissement d’un profil d’ADN dans chaque cas individuel (ATF 147 I 372 précité ; ATF 141 IV 87 consid. 1.4.2, JdT 2015 IV 280).</w:t>
      </w:r>
    </w:p>
    <w:p>
      <w:r>
        <w:rPr>
          <w:b/>
        </w:rPr>
        <w:t>E. 2.2</w:t>
      </w:r>
    </w:p>
    <w:p>
      <w:r>
        <w:t>En l’espèce, l’ordonnance querellée apparaît largement stéréotypée et insuffisamment individualisée. Elle ne décrit pas de manière précise les faits imputés au recourant, ne discute pas le caractère suffisant des soupçons à son encontre, ne précise pas en quoi la mesure serait utile pour élucider les faits de la cause, ni ne procède à un examen de la proportionnalité de la mesure. Le seul élément personnel invoqué réside dans le fait que le recourant aurait « perdu son sang-froid » et que cette prétendue caractéristique « peut laisser penser à l’existence d’infractions passées ou futures », sans étayer ces assertions par des éléments objectifs du dossier. Au vu de cette dernière précision, il convient de considérer que 12J010</w:t>
      </w:r>
    </w:p>
    <w:p>
      <w:r>
        <w:t>- 7 - le Ministère public justifie la mesure pour l’élucidation possible d’infractions passées ou futures. Sur le fond, s’agissant des infractions passées, le Ministère public ne prétend pas que le recourant aurait des antécédents pénaux ni qu’il serait défavorablement connu de la police. Au contraire, l’extrait de son casier judiciaire ne contient aucune inscription. Par ailleurs, il ressort du dossier que le recourant ne serait pas à l’origine de l’altercation, mais qu’il aurait tenté de séparer les protagonistes, avant de recevoir lui-même des coups. Par « réflexe », il aurait frappé B.________, du reste fortement alcoolisé (cf. P. 8/1), au moyen d’un verre, dans un geste qu’il qualifie d’ « instinct de défense » (cf. PV des opérations, mention du 27.10.2025 ; P. 11/2/1, R. 5). Au vu de ces éléments, et sous réserve des clarifications qui seront apportées par l’enquête, on ne peut, à ce stade, exclure que le recourant ait agi en état de légitime défense. Quoi qu’il en soit, il faut constater que les circonstances exactes de l’altercation n’ont pas encore été élucidées et qu’on ne peut déduire des éléments qui précèdent que le recourant aurait « perdu son sang-froid ». A fortiori, une telle appréciation, à elle seule, ne constitue pas un indice sérieux et concret permettant de présumer l’implication du recourant dans d’autres infractions passées. Ce motif ne saurait donc justifier la mesure attaquée. Quant à l’établissement d’un profil d’ADN dans le but d’élucider d’éventuelles infractions futures, il ne relève pas de la compétence du Ministère public mais exclusivement de l’autorité de jugement (cf. art. 257 CPP). Le Ministère public ne pouvait dès lors pas non plus ordonner, à cette fin, le prélèvement d’un échantillon d’ADN du recourant. Au vu de ce qui précède, la mesure querellée ne respecte pas le principe de proportionnalité, respectivement viole l’art. 257 CPP.</w:t>
      </w:r>
    </w:p>
    <w:p>
      <w:r>
        <w:rPr>
          <w:b/>
        </w:rPr>
        <w:t>E. 3</w:t>
      </w:r>
    </w:p>
    <w:p>
      <w:r>
        <w:t>En définitive, le recours doit être admis, l’ordonnance entreprise annulée et la destruction du prélèvement d’ADN n° 3362728414 ordonnée. 12J010</w:t>
      </w:r>
    </w:p>
    <w:p>
      <w:r>
        <w:t>- 8 - Au vu de la nature de la cause et de l’acte de recours déposé par Me Vincent Demierre, défenseur d’office de A.________, son indemnité sera fixée à 450 fr., correspondant à une activité nécessaire d’avocat de 2h30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9 fr., plus la TVA au taux de 8,1 %, par 37 fr. 20, soit à 497 fr. au total en chiffres arrondis. Vu le sort du recours, les frais de la procédure, constitués en l’espèce de l’émolument d'arrêt, par 880 fr. (art. 20 al. 1 TFIP), et des frais imputables à la défense d’office (art. 422 al. 1 et 2 let. a CPP), par 497 fr., seront laissés à la charge de l’Etat (art. 423 al. 1 et 428 al. 4 CPP). Par ces motifs, la Chambre des recours pénale prononce : I. Le recours est admis. II. L’ordonnance du 20 novembre 2025 est annulée. III. La destruction du prélèvement d’ADN n° 3362728414 est ordonnée. IV. L’indemnité allouée à Me Vincent Demierre, défenseur d’office d’A.________, est fixée à 497 fr. (quatre cent nonante- sept francs). V. Les frais d’arrêt, par 880 fr. (huit cent huitante francs), ainsi que l’indemnité allouée à Me Vincent Demierre, par 497 fr. 12J010</w:t>
      </w:r>
    </w:p>
    <w:p>
      <w:r>
        <w:t>- 9 - (quatre cent nonante-sept francs), sont laissés à la charge de l’Etat. VI. L’arrêt est exécutoire. Le juge présidant : Le greffier : Du Le présent arrêt, dont la rédaction a été approuvée à huis clos, est notifié, par l'envoi d'une copie complète, à : - Me Vincent Demierre, avocat (pour A.________),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