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PE25.022453 vom 18. Dezember 2025</w:t>
      </w:r>
    </w:p>
    <w:p>
      <w:r>
        <w:t>VD Tribunal cantonal, 2025-12-18, FR</w:t>
      </w:r>
    </w:p>
    <w:p>
      <w:r>
        <w:rPr>
          <w:b/>
        </w:rPr>
        <w:t xml:space="preserve">Quelle: </w:t>
      </w:r>
      <w:r>
        <w:t>https://mcp.opencaselaw.ch/entscheid/vd_gerichte_PE25.022453</w:t>
      </w:r>
    </w:p>
    <w:p>
      <w:r>
        <w:t>FR: VD_GERICHTE PE25.022453 du 18 décembre 2025</w:t>
      </w:r>
    </w:p>
    <w:p>
      <w:r>
        <w:t>IT: VD_GERICHTE PE25.022453 del 18 dicembre 2025</w:t>
      </w:r>
    </w:p>
    <w:p>
      <w:pPr>
        <w:pStyle w:val="Heading2"/>
      </w:pPr>
      <w:r>
        <w:t>Erwägungen</w:t>
      </w:r>
    </w:p>
    <w:p>
      <w:r>
        <w:rPr>
          <w:b/>
        </w:rPr>
        <w:t>E. 1</w:t>
      </w:r>
    </w:p>
    <w:p>
      <w:r>
        <w:t>12J010</w:t>
      </w:r>
    </w:p>
    <w:p>
      <w:r>
        <w:t>- 4 -</w:t>
      </w:r>
    </w:p>
    <w:p>
      <w:r>
        <w:rPr>
          <w:b/>
        </w:rPr>
        <w:t>E. 1.1</w:t>
      </w:r>
    </w:p>
    <w:p>
      <w:r>
        <w:t>Aux termes de l’art. 393 al. 1 let. c CPP (Code de procédure pénale suisse du 5 octobre 2007 ; RS 312.0), le recours est recevable contre les décisions du Tribunal des mesures de contrainte pour autant que le Code ne les qualifie pas de définitives.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l’ordonnance attaquée a été notifiée le 2 décembre 2025 au défenseur d’office de C.________. Le recours, posté le 8 décembre 2025, n’a pu être distribué, l’adresse mentionnée étant incomplète, et a été retourné à son expéditeur. Il a été remis sous pli, avec une adresse complète cette fois-ci, le 15 décembre 2025 seulement, soit après l’échéance du délai de recours qui est intervenue le vendredi 12 décembre 2025. La recevabilité du recours est donc douteuse. La question peut toutefois rester ouverte, le recours devant de toute manière être rejeté pour les motifs qui suivent.</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12J010</w:t>
      </w:r>
    </w:p>
    <w:p>
      <w:r>
        <w:t>- 5 - compromette sérieusement la sécurité d’autrui par des crimes ou des délits graves après avoir déjà commis des infractions du même genre (let. c). Les conditions de l’art. 221 al. 1 let. a, b et c CPP sont alternatives et non cumulatives (TF 7B_144/2025 du 24 mars 2025 consid. 3.3 et les arrêts cités).</w:t>
      </w:r>
    </w:p>
    <w:p>
      <w:r>
        <w:rPr>
          <w:b/>
        </w:rPr>
        <w:t>E. 2.2</w:t>
      </w:r>
    </w:p>
    <w:p>
      <w:r>
        <w:t>; TF 7B_62/2025 du 26 février 2025 consid. 4.3.1).</w:t>
      </w:r>
    </w:p>
    <w:p>
      <w:r>
        <w:rPr>
          <w:b/>
        </w:rPr>
        <w:t>E. 3</w:t>
      </w:r>
    </w:p>
    <w:p>
      <w:r>
        <w:t>Le recourant, renvoyé devant le Tribunal de police de l’arrondissement de La Côte par acte d’accusation du 24 novembre 2025, ne conteste pas, à juste titre, l’existence de soupçons suffisants de la commission d’un crime ou d’un délit.</w:t>
      </w:r>
    </w:p>
    <w:p>
      <w:r>
        <w:rPr>
          <w:b/>
        </w:rPr>
        <w:t>E. 4.1</w:t>
      </w:r>
    </w:p>
    <w:p>
      <w:r>
        <w:t>Le recourant conteste l’existence d’un risque de fuite. Il fait valoir qu’il va bénéficier d’un sursis, qu’il n’a aucun intérêt à ne pas se présenter à son procès et que son maintien en détention pour garantir son expulsion n’a aucun sens puisqu’il veut précisément retourner en France.</w:t>
      </w:r>
    </w:p>
    <w:p>
      <w:r>
        <w:rPr>
          <w:b/>
        </w:rPr>
        <w:t>E. 4.2</w:t>
      </w:r>
    </w:p>
    <w:p>
      <w:r>
        <w:t>Selon l'art. 221 al. 1 let. a CPP, la détention provisoire ou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donc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w:t>
      </w:r>
    </w:p>
    <w:p>
      <w:r>
        <w:rPr>
          <w:b/>
        </w:rPr>
        <w:t>E. 4.3</w:t>
      </w:r>
    </w:p>
    <w:p>
      <w:r>
        <w:t>Le recourant est un ressortissant français, sans aucune attache avec la Suisse, où il n’est venu que pour commettre des infractions. Il vit 12J010</w:t>
      </w:r>
    </w:p>
    <w:p>
      <w:r>
        <w:t>- 6 - d’ordinaire en France avec sa famille. Il se sait désormais exposé à une peine d’une certaine importance, soit huit mois selon les réquisitions du Ministère public. Il n’est en outre absolument pas certain qu’un sursis lui sera octroyé, même si le Ministère public l’a proposé dans son acte d’accusation. Il ressort en effet des propres déclarations du recourant qu’il a par le passé déjà été condamné à une peine privative de liberté de 7 ans pour une « fusillade » ainsi que pour des « petits vols et d’autres choses » (PV aud. du 19 octobre 2025, R. 3). L’octroi du sursis n’est donc absolument pas garanti. Au vu de ce qui précède, il y a donc un risque évident que si le recourant venait à être libéré, il retourne en France, ne se présente pas à son procès et échappe ainsi à sa sanction, la France n’extradant pas ses ressortissants. Le moyen soulevé, infondé, doit dès lors être rejeté.</w:t>
      </w:r>
    </w:p>
    <w:p>
      <w:r>
        <w:rPr>
          <w:b/>
        </w:rPr>
        <w:t>E. 5.1</w:t>
      </w:r>
    </w:p>
    <w:p>
      <w:r>
        <w:t>Le recourant conteste également la proportionnalité de sa détention.</w:t>
      </w:r>
    </w:p>
    <w:p>
      <w:r>
        <w:rPr>
          <w:b/>
        </w:rPr>
        <w:t>E. 5.2</w:t>
      </w:r>
    </w:p>
    <w:p>
      <w:r>
        <w:t>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les réf. cit.).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consid. 3.1).</w:t>
      </w:r>
    </w:p>
    <w:p>
      <w:r>
        <w:rPr>
          <w:b/>
        </w:rPr>
        <w:t>E. 5.3</w:t>
      </w:r>
    </w:p>
    <w:p>
      <w:r>
        <w:t>En l’espèce, la durée de la détention pour des motifs de sûreté a été limitée au 24 mars 2026. L’audience de jugement a dans l’intervalle a été fixée au 2 mars 2026. A cette date, le recourant, qui a été arrêté le 19 octobre 2025, aura subi un peu moins de cinq mois de détention. Une telle 12J010</w:t>
      </w:r>
    </w:p>
    <w:p>
      <w:r>
        <w:t>- 7 - durée est tout à fait acceptable au vu de la peine prévisible, compte tenu de la gravité des faits reprochés au recourant et des antécédents qu’il dit avoir. Le Ministère public a d’ailleurs requis une peine privative de liberté de huit mois. Partant, la proportionnalité de la détention sous l’angle de l’art. 212 al. 3 CPP demeure respectée. Le moyen soulevé, infondé, doit dès lors être rejeté. Pour le reste, le recourant ne propose pas de mesures de substitution et on ne voit pas laquelle pourrait être prononcée pour parer efficacement le risque de fuite retenu.</w:t>
      </w:r>
    </w:p>
    <w:p>
      <w:r>
        <w:rPr>
          <w:b/>
        </w:rPr>
        <w:t>E. 6</w:t>
      </w:r>
    </w:p>
    <w:p>
      <w:r>
        <w:t>En définitive, le recours, manifestement mal fondé, doit être rejeté, dans la mesure où il est recevable, sans échange d’écritures (art. 390 al. 2 CPP) et l’ordonnance entreprise confirmée. Compte tenu de la nature de l’affaire et de l’acte de recours déposé, l’indemnité allouée au défenseur d’office de C.________ sera fixée à 540 fr., correspondant à une activité nécessaire d’avocat de 3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plus la TVA au taux de 8,1 %, par 44 fr. 60, soit à 596 fr. au total en chiffres arrondis. Vu le sort du recours, les frais de la procédure, constitués en l’espèce de l’émolument d'arrêt, par 770 fr. (art. 20 al. 1 TFIP), et des frais imputables à la défense d’office (art. 422 al. 1 et 2 let. a CPP), fixés à 596 fr., seront mis à la charge du recourant, qui succombe (art. 428 al. 1 CPP). Le remboursement à l’Etat de l’indemnité allouée au défenseur d’office du recourant sera exigible lorsque sa situation financière le permettra (art. 135 al. 4 CPP). 12J010</w:t>
      </w:r>
    </w:p>
    <w:p>
      <w:r>
        <w:t>- 8 - Par ces motifs, la Chambre des recours pénale prononce : I. Le recours est rejeté dans la mesure où il est recevable. II. L’ordonnance du 1er décembre 2025 est confirmée. III. L’indemnité allouée au défenseur d’office de C.________ est fixée à 596 fr. (cinq cent nonante-six francs). IV. Les frais d’arrêt, par 770 fr. (sept cent septante francs), ainsi que l’indemnité due au défenseur d’office du recourant, par 596 fr. (cinq cent nonante-six francs), sont mis à la charge de C.________. V. Le remboursement à l’Etat de l’indemnité allouée au chiffre III ci-dessus sera exigible lorsque la situation financière de C.________ le permettra. VI. L’arrêt est exécutoire. Le président : La greffière : Du Le présent arrêt, dont la rédaction a été approuvée à huis clos, est notifié, par l'envoi d'une copie complète, à : - Me Virginie Rodigari, avocate (pour C.________), - Ministère public central, et communiqué à : - Mme la Présidente du Tribunal des mesures de contrainte, 12J010</w:t>
      </w:r>
    </w:p>
    <w:p>
      <w:r>
        <w:t>- 9 - - Mme la Présidente du Tribunal de police de l’arrondissement de La Côte, - Mme la Procureure cantonale Strada.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