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PE25.022259 vom 18. Mai 2026</w:t>
      </w:r>
    </w:p>
    <w:p>
      <w:r>
        <w:t>VD Tribunal cantonal, 2026-05-18, FR</w:t>
      </w:r>
    </w:p>
    <w:p>
      <w:r>
        <w:rPr>
          <w:b/>
        </w:rPr>
        <w:t xml:space="preserve">Quelle: </w:t>
      </w:r>
      <w:r>
        <w:t>https://mcp.opencaselaw.ch/entscheid/vd_gerichte_PE25.022259</w:t>
      </w:r>
    </w:p>
    <w:p>
      <w:r>
        <w:t>FR: VD_GERICHTE PE25.022259 du 18 mai 2026</w:t>
      </w:r>
    </w:p>
    <w:p>
      <w:r>
        <w:t>IT: VD_GERICHTE PE25.022259 del 18 maggio 2026</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12J010</w:t>
      </w:r>
    </w:p>
    <w:p>
      <w:r>
        <w:t>- 4 - écriture ou aux pièces qu’il a déposées devant l’instance précédente (TF 7B_1109/2025 du 15 décembre 2025 consid. 1.2.3 ;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7B_1109/2025 précité ; TF 7B_587/2023 précité ; TF 6B_1447/2022 précité ; CREP 8 janvier 2026/33 consid. 1.3.2).</w:t>
      </w:r>
    </w:p>
    <w:p>
      <w:r>
        <w:rPr>
          <w:b/>
        </w:rPr>
        <w:t>E. 1.3</w:t>
      </w:r>
    </w:p>
    <w:p>
      <w:r>
        <w:t>En l’espèce, les recourants indiquent que l’ordonnance querellée leur a été notifiée le 16 janvier 2026. En l’absence de preuve de la notification, ladite ordonnance ayant été envoyée sous pli simple, il faut admettre que, déposé le 26 janvier 2026, le recours l’a été en temps utile (cf. ATF 142 IV 125). Il émane en outre de parties plaignantes qui ont qualité pour recourir (art. 382 al. 1 CPP). En revanche, la recevabilité du recours apparaît douteuse au regard des exigences de motivation posées par l’art. 385 al. 1 CPP. En effet, les recourants se bornent à faire valoir leur propre appréciation des faits, à invoquer une violation du principe in dubio pro duriore et à requérir plusieurs moyens de preuve, sans toutefois expliquer en quoi les éléments constitutifs d’une infraction pénale, en particulier l’art. 179decies CP, seraient réalisés. Faute de démonstration topique, le recours apparaît irrecevable. La question peut toutefois rester ouverte, celui-ci devant de toute manière être rejeté pour les motifs qui suivent.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12J010</w:t>
      </w:r>
    </w:p>
    <w:p>
      <w:r>
        <w:t>- 5 - manifestement pas réunis. Cette disposition doit être appliquée dans le respect de l'adage in dubio pro duriore. Celui-ci découle du principe de la légalité (art. 5 al. 1 Cst. et art. 2 al. 2 CPP en relation avec les art. 319 al. 1 et 324 al. 1 CPP ; ATF 138 IV 86 consid. 4.2 ; TF 7B_12/2024 du 26 janvier 2026 consid. 3.2.1)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7B_12/2024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Aux termes de l’art. 179decies CP, quiconque utilise l’identité d’une autre personne sans son consentement dans le dessein de lui nuire ou de se procurer ou de procurer à un tiers un avantage illicite est, sur plainte, puni d’une peine privative de liberté d’un an au plus ou d’une peine pécuniaire. L'art. 179decies CP constitue ainsi un délit intentionnel. Il suppose en outre un dessein spécial, qui peut se présenter sous deux formes alternatives, soit le dessein de nuire à sa victime ou celui de se procurer ou de procurer à un tiers un avantage illicite. Selon le Message, la nuisance causée par l’usurpation d’identité peut être de nature matérielle ou immatérielle et doit atteindre un certain degré pour que la disposition 12J010</w:t>
      </w:r>
    </w:p>
    <w:p>
      <w:r>
        <w:t>- 6 - s’applique. La seule intention de causer de graves ennuis peut déjà être considérée comme une nuisance suffisante (Message concernant la loi fédérale sur la révision totale de la loi fédérale sur la protection des données et sur la modification d’autres lois fédérales, FF 2017 pp. 6565 ss, spéc. p. 6742).</w:t>
      </w:r>
    </w:p>
    <w:p>
      <w:r>
        <w:rPr>
          <w:b/>
        </w:rPr>
        <w:t>E. 2.3</w:t>
      </w:r>
    </w:p>
    <w:p>
      <w:r>
        <w:t>Pour toute motivation, les recourants relèvent que le rapport de contrôle du 14 mars 2025 (cf. P. 5/4) mentionne que C.________ a contacté A.________ et que deux employés en situation irrégulière ont œuvré sur le chantier « [...] », pour la société E.________ Sàrl. Ils reprochent à la police de s’être limitée à contacter l’inspecteur des chantiers pour vérifier les faits, « sans instruire de manière approfondie les éléments factuels du dossier ». Ils soutiennent que les dires de C.________ seraient en contradiction avec le rapport transmis. Enfin, ils font valoir un « préjudice important subi d’un simple téléphone (cf. acte de recours, p. 10). D’emblée, il y a lieu de constater que les recourants ne mentionnent à aucun moment que le rapport d’inspection du 14 mars 2025 a fait l’objet d’un correctif en date du 27 juin 2025, dans lequel l’inspecteur C.________ a indiqué avoir commis une erreur sur la personne, respectivement sur la société visée, en raison d’une confusion entre des entreprises homonymes actives dans le même secteur professionnel. Par ailleurs, les recourants, qui se prévalent d’un « préjudice important », n’explicitent pas leur dommage, de sorte qu’on en ignore la nature et l’ampleur, le dossier ne contenant rien à ce sujet. Quoi qu’il en soit, l’art. 179decies CP suppose un dessein spécial, à savoir celui de nuire à la victime ou celui de se procurer ou de procurer à un tiers un avantage illicite. Or, aucun élément du dossier ne permet de retenir un tel dessein. On ne voit d’abord pas quel avantage l’inspecteur du marché du travail aurait cherché à obtenir, pour lui-même ou pour un tiers, en imputant à une société des faits qui concernaient en réalité une société homonyme. Rien ne permet davantage de discerner quel intérêt les responsables de cette société homonyme auraient eu à provoquer délibérément une telle confusion, puisqu’en faisant intervenir un inspecteur 12J010</w:t>
      </w:r>
    </w:p>
    <w:p>
      <w:r>
        <w:t>- 7 - du marché du travail sur le chantier « [...] », ils s’exposaient de toute manière au risque évident que celui-ci découvre le subterfuge et que leur société soit finalement sanctionnée. Quant aux travailleurs en situation irrégulière concernés, on ne distingue pas non plus quel avantage ils auraient pu retirer du fait d’attribuer leur activité illicite à l’une plutôt qu’à l’autre des sociétés en cause, ni de se faire passer pour A.________ ou pour des employés de la société E.________ Sàrl. Au vu de ce qui précède, aucun élément du dossier ne permet de retenir la commission d’une infraction pénale, en particulier celle d’usurpation d’identité au sens de l’art. 179decies CP. Le refus d’entrer en matière est donc fondé.</w:t>
      </w:r>
    </w:p>
    <w:p>
      <w:r>
        <w:rPr>
          <w:b/>
        </w:rPr>
        <w:t>E. 3</w:t>
      </w:r>
    </w:p>
    <w:p>
      <w:r>
        <w:t>En définitive, le recours, manifestement mal fondé, doit être rejeté sans échange d’écritures (art. 390 al. 2 CPP) et l’ordonnance du 8 janvier 2026 confirmée. Vu le sort du recours, les frais de la procédure, constitués en l’espèce de l’émolument d'arrêt, par 770 fr. (art. 20 al. 1 TFIP [tarif des frais de procédure et indemnités en matière pénale du 28 septembre 2010 ; BLV 312.03.1]), seront mis solidairement à la charge d’A.________ et de E.________ Sàrl, qui succombent (art. 418 al. 2 et 428 al. 1 CPP). Les frais seront compensés avec le montant de 770 fr. déjà versé par ceux-ci à titre de sûretés (art. 383 al. 1 CPP). Par ces motifs, la Chambre des recours pénale prononce : I. Le recours est rejeté dans la mesure où il est recevable. II. L’ordonnance du 8 janvier 2026 est confirmée. III. Les frais d’arrêt, par 770 fr. (sept cent septante francs), sont mis à la charge d’A.________ et de E.________ Sàrl, solidairement entre eux. 12J010</w:t>
      </w:r>
    </w:p>
    <w:p>
      <w:r>
        <w:t>- 8 - IV. Les frais mis à la charge d’A.________ et de E.________ Sàrl au chiffre III ci-dessus sont compensés avec le montant de 770 fr. (sept cent septante francs) déjà versé par ceux-ci à titre de sûretés. V. L’arrêt est exécutoire. La présidente : Le greffier : Du Le présent arrêt, dont la rédaction a été approuvée à huis clos, est notifié, par l'envoi d'une copie complète, à : - Me Guillaume Grand, avocat (pour A.________ et E.________ Sàrl),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