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PE25.022125 vom 11. Mai 2026</w:t>
      </w:r>
    </w:p>
    <w:p>
      <w:r>
        <w:t>VD Tribunal cantonal, 2026-05-11, FR</w:t>
      </w:r>
    </w:p>
    <w:p>
      <w:r>
        <w:rPr>
          <w:b/>
        </w:rPr>
        <w:t xml:space="preserve">Quelle: </w:t>
      </w:r>
      <w:r>
        <w:t>https://mcp.opencaselaw.ch/entscheid/vd_gerichte_PE25.022125</w:t>
      </w:r>
    </w:p>
    <w:p>
      <w:r>
        <w:t>FR: VD_GERICHTE PE25.022125 du 11 mai 2026</w:t>
      </w:r>
    </w:p>
    <w:p>
      <w:r>
        <w:t>IT: VD_GERICHTE PE25.022125 del 11 maggio 2026</w:t>
      </w:r>
    </w:p>
    <w:p>
      <w:pPr>
        <w:pStyle w:val="Heading2"/>
      </w:pPr>
      <w:r>
        <w:t>Erwägungen</w:t>
      </w:r>
    </w:p>
    <w:p>
      <w:r>
        <w:rPr>
          <w:b/>
        </w:rPr>
        <w:t>E. 1</w:t>
      </w:r>
    </w:p>
    <w:p>
      <w:r>
        <w:t>12J010</w:t>
      </w:r>
    </w:p>
    <w:p>
      <w:r>
        <w:t>- 3 -</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 sur l’art. 255 CPP peut faire l’objet d’un recours au sens des art. 393ss CPP (cf. notamment CREP 6 juin 2025/412).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est recevable.</w:t>
      </w:r>
    </w:p>
    <w:p>
      <w:r>
        <w:rPr>
          <w:b/>
        </w:rPr>
        <w:t>E. 2.1</w:t>
      </w:r>
    </w:p>
    <w:p>
      <w:r>
        <w:t>Le recourant soutient que l’établissement d’un profil ADN le concernant est injustifié et contraire au principe de la proportionnalité. Il fait tout d’abord valoir que, s’agissant d’actes purement dématérialisés, tels que des virements bancaires en ligne pour l’acquisition de contenu illicite, l’établissement d’un profil ADN est techniquement inapte à élucider une quelconque infraction. Il considère que d’autres mesures, telles qu’une analyse des mouvements bancaires ou d’autres intermédiaires financiers s’avéreraient largement plus pertinentes. Il ajoute en outre que le dossier ne contient aucun indice permettant de le suspecter d’avoir commis d’autres infractions et précise qu’il n’a aucun antécédent judiciaire. Enfin, son silence sur sa situation financière exacte ne constitue pas une présomption sérieuse de ressources illicites.</w:t>
      </w:r>
    </w:p>
    <w:p>
      <w:r>
        <w:rPr>
          <w:b/>
        </w:rPr>
        <w:t>E. 2.2</w:t>
      </w:r>
    </w:p>
    <w:p>
      <w:r>
        <w:t>12J010</w:t>
      </w:r>
    </w:p>
    <w:p>
      <w:r>
        <w:t>- 4 -</w:t>
      </w:r>
    </w:p>
    <w:p>
      <w:r>
        <w:rPr>
          <w:b/>
        </w:rPr>
        <w:t>E. 2.2.1</w:t>
      </w:r>
    </w:p>
    <w:p>
      <w:r>
        <w:t>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7B_938/2024 du 31 mars 2025, consid. 2.1.1). L’art. 197 al. 1 CPP rappelle ces principes en précisant que les mesures de contrainte ne peuvent être prises que si elles sont prévues par la loi (let. a), si des soupçons suffisants laissent présumer une infraction (let. b), si les buts poursuivis ne peuvent pas être atteintes par des mesures moins sévères (let. c) et si elles apparaissent justifiées au regard de la gravité de l’infraction (let. d). Par ailleurs, le soupçon doit préexister à la mesure de contrainte ; le contraire reviendrait à permettre de construire le soupçon et de justifier après coup la mesure de contrainte (« fishing expedition » ; TF 7B_152/2023 du 2 juillet 2024 consid. 2.2.4 et les références citées).</w:t>
      </w:r>
    </w:p>
    <w:p>
      <w:r>
        <w:rPr>
          <w:b/>
        </w:rPr>
        <w:t>E. 2.2.2</w:t>
      </w:r>
    </w:p>
    <w:p>
      <w:r>
        <w:t>Selon l’art. 255 al. 1 let. a CPP, dans sa teneur au 1er janvier 2024 (RO 2023 p. 468),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 FF 2019 pp. 6351 ss, spéc. 6405). 12J010</w:t>
      </w:r>
    </w:p>
    <w:p>
      <w:r>
        <w:t>- 5 -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précité et les références citées ; TF 7B_938/2024 du 31 mars 2025, consid. 2.1.3). L’art. 257 CPP, dans sa teneur au 1er janvier 2024 (RO 2023 p. 468), quant à lui, permet l’établissement d’un profil d’ADN dans le but d’élucider d’éventuelles infractions futures si une personne est condamnée pour un crime ou un délit, si des indices concrets laissent présumer qu’elle pourrait commettre d’autres crimes ou délits. Ce n’est toutefois pas le Ministère public durant l’instruction, mais le tribunal qui rend le jugement (ou le Ministère public dans la procédure de l’ordonnance pénale) qui peut ordonner une telle mesure (cf. CREP 20 janvier 2026/48 consid. 2.2.3).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12J010</w:t>
      </w:r>
    </w:p>
    <w:p>
      <w:r>
        <w:t>- 6 - d’ADN dans chaque cas individuel (ATF 147 I 372 précité ; ATF 141 IV 87 consid. 1.4.2, JdT 2015 IV 280 ; CREP 10 février 2025/53, consid. 3.2.2).</w:t>
      </w:r>
    </w:p>
    <w:p>
      <w:r>
        <w:rPr>
          <w:b/>
        </w:rPr>
        <w:t>E. 2.3</w:t>
      </w:r>
    </w:p>
    <w:p>
      <w:r>
        <w:t>En l’espèce, l’ordonnance querellée est uniquement justifiée par le fait qu’il ne peut être exclu que l’activité délictueuse du recourant soit plus vaste que celle mise à jour par l’enquête, ainsi que par le souci d’éviter toute infraction future. Le Ministère public reproche au recourant une infraction à la LArm (Loi fédérale sur les armes, les accessoires d’armes et les munitions du 20 juin 1997 ; RS 514.54) et le fait qu’il ait refusé de s’exprimer sur sa situation financière. Le procureur admet que le recourant n’a pas d’antécédent mais précise que les faits sont « d’une gravité certaine » et « qu’on ne peut exclure un attrait plus concret pour les jeunes gens à l’avenir ». Cette motivation, trop abstraite, ne permet effectivement pas de déterminer pour quel motif concret l’établissement d’un profil ADN serait nécessaire pour élucider les mises en cause actuelles. En effet, les actes reprochés relevant de la pornographie (cf. art. 197 CP [Code pénal suisse du 21 décembre 1957 ; RS 311.0]) et les supports des représentations étant des fichiers informatiques, on ne voit pas en quoi le profil ADN du recourant permettrait d’élucider les faits. La décision entreprise ne fait d’ailleurs qu’évoquer ce motif, sans l’étayer et le Ministère public a renoncé à se déterminer. S’agissant d’éventuelles infractions passées, le dossier de la cause ne fait apparaître aucun indice concret laissant présumer que le recourant, qui n’a par ailleurs aucun antécédent judiciaire, aurait pu commettre d’autres infractions. Enfin, outre qu’on ne voit pas en quoi un prélèvement ADN serait susceptible de prévenir des infractions futures de même nature, il convient de rappeler que le Ministère public n’a pas la compétence, au stade de l’instruction, d’ordonner une telle mesure à titre préventif. En définitive, aucun indice ne laisse présumer la commission d’autres infractions, de sorte que la mesure ordonnée n’apparaît ni utile, ni proportionnée au regard des mises en cause actuelles. 12J010</w:t>
      </w:r>
    </w:p>
    <w:p>
      <w:r>
        <w:t>- 7 -</w:t>
      </w:r>
    </w:p>
    <w:p>
      <w:r>
        <w:rPr>
          <w:b/>
        </w:rPr>
        <w:t>E. 3</w:t>
      </w:r>
    </w:p>
    <w:p>
      <w:r>
        <w:t>heures d’activité nécessaire d’avocat, au tarif horaire de 300 fr. (art. 26a al. 3 TFIP), par 900 fr., à 30 minutes d’activité nécessaire d’avocat-stagiaire, au tarif horaire de 160 fr. (art. 26a al. 3 TFIP), par 80 fr., à des débours à concurrence de 2 % des honoraires admis (art. 19 al. 2 TDC [tarif des dépens en matière civile du 23 novembre 2010 ; BLV 270.11.6], applicable par renvoi de l’art. 26a al. 6 TFIP), par 19 fr. 60, et à la TVA au taux de 8,1 %, par 80 fr. 97. Par ces motifs, la Chambre des recours pénale prononce : I. Le recours est admis. II. L’ordonnance du 25 février 2026 est annulée. III. La destruction du prélèvement d’ADN n° 3362753123 est ordonnée. IV. Une indemnité de 1’081 fr. (mille huitante et un franc) est allouée à Me Damien Menut pour la procédure de recours, à la charge de l’Etat. V. Les frais d’arrêt, par 770 fr. (sept cent septante francs), sont laissés à la charge de l’Etat. 12J010</w:t>
      </w:r>
    </w:p>
    <w:p>
      <w:r>
        <w:t>- 8 - VI. L’arrêt est exécutoire. La présidente : La greffière : Du Le présent arrêt, dont la rédaction a été approuvée à huis clos, est notifié, par l'envoi d'une copie complète, à : - Me Damien Menut, avocat (pour B.________), - Ministère public central, 12J010</w:t>
      </w:r>
    </w:p>
    <w:p>
      <w:r>
        <w:t>- 9 -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