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PE25.021269 vom 7. April 2026</w:t>
      </w:r>
    </w:p>
    <w:p>
      <w:r>
        <w:t>VD Tribunal cantonal, 2026-04-07, FR</w:t>
      </w:r>
    </w:p>
    <w:p>
      <w:r>
        <w:rPr>
          <w:b/>
        </w:rPr>
        <w:t xml:space="preserve">Quelle: </w:t>
      </w:r>
      <w:r>
        <w:t>https://mcp.opencaselaw.ch/entscheid/vd_gerichte_PE25.021269</w:t>
      </w:r>
    </w:p>
    <w:p>
      <w:r>
        <w:t>FR: VD_GERICHTE PE25.021269 du 7 avril 2026</w:t>
      </w:r>
    </w:p>
    <w:p>
      <w:r>
        <w:t>IT: VD_GERICHTE PE25.021269 del 7 aprile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et dans les formes prescrites (art. 385 al. 1 CPP), auprès de l’autorité compétente, par la partie plaignante qui a la qualité pour recourir (art. 382 CPP), le recours est recevable.</w:t>
      </w:r>
    </w:p>
    <w:p>
      <w:r>
        <w:rPr>
          <w:b/>
        </w:rPr>
        <w:t>E. 2.1</w:t>
      </w:r>
    </w:p>
    <w:p>
      <w:r>
        <w:t>;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2.2.1</w:t>
      </w:r>
    </w:p>
    <w:p>
      <w:r>
        <w:t>Conformément à l’art. 310 al. 1 CPP, le Ministère public rend immédiatement une ordonnance de non-entrée en matière s’il ressort de la dénonciation ou du rapport de police que les éléments constitutifs de 12J010</w:t>
      </w:r>
    </w:p>
    <w:p>
      <w:r>
        <w:t>- 6 -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w:t>
      </w:r>
    </w:p>
    <w:p>
      <w:r>
        <w:rPr>
          <w:b/>
        </w:rPr>
        <w:t>E. 2.2.2.1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12J010</w:t>
      </w:r>
    </w:p>
    <w:p>
      <w:r>
        <w:t>- 7 -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références citées).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w:t>
      </w:r>
    </w:p>
    <w:p>
      <w:r>
        <w:rPr>
          <w:b/>
        </w:rPr>
        <w:t>E. 2.2.2.2</w:t>
      </w:r>
    </w:p>
    <w:p>
      <w:r>
        <w:t>Le Ministère public peut écarter une réquisition de preuves si celle-ci porte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 12J010</w:t>
      </w:r>
    </w:p>
    <w:p>
      <w:r>
        <w:t>- 8 -</w:t>
      </w:r>
    </w:p>
    <w:p>
      <w:r>
        <w:rPr>
          <w:b/>
        </w:rPr>
        <w:t>E. 2.2.3</w:t>
      </w:r>
    </w:p>
    <w:p>
      <w:r>
        <w:t>Selon l’art. 251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précité consid. 7.4 ; ATF 138 IV 130 consid. 3.2.4). La notion d’avantage illicite adoptée par la jurisprudence est très large. Elle comprend tout type d’avantage illicite visé par l’auteur, qu’il soit de nature matérielle ou immatérielle. En outre, comme le précise la loi, l’avantage illicite peut être destiné à l’auteur lui-même ou à un tiers. Il suffit donc que le patrimoine de l’auteur ou d’un tiers bénéficie d’une amélioration (ATF 129 IV 53 consid. 3.3, JdT 2006 IV 7 ; Dupuis et al. [éd.], Petit commentaire, Code pénal, 2e éd., Bâle 2017, n. 53 ad art. 251 CP). Le caractère illicite de l’avantage ne requiert ni que l’auteur ait l’intention de porter préjudice, ni que l’obtention d’un avantage soit punissable au titre d’une infraction (ATF 129 IV 53 précité consid. 3,3 ; ATF 121 IV 90 consid. 2b). L’illicéité peut découler du but poursuivi par l’auteur ou du moyen qu’il utilise (ATF 121 IV 216 consid. 2, JdT 1997 IV 70). L’avantage obtenu ne doit cependant pas forcément être illicite en tant que tel. Ainsi, celui qui veut 12J010</w:t>
      </w:r>
    </w:p>
    <w:p>
      <w:r>
        <w:t>- 9 - obtenir une prétention légitime ou éviter un inconvénient injustifié au moyen d’un titre faux est également punissable (ATF 128 IV 265 consid. 2.2, JdT 2004 IV 132). En outre, il suffit que l’auteur utilise un titre faux comme étant véridique pour que l’on admette l’illicéité (ATF 121 IV 216 précité consid. 4 ; cf. Dupuis et al. [éd.], op. cit., n. 55 ad art. 251 CP).</w:t>
      </w:r>
    </w:p>
    <w:p>
      <w:r>
        <w:rPr>
          <w:b/>
        </w:rPr>
        <w:t>E. 2.3</w:t>
      </w:r>
    </w:p>
    <w:p>
      <w:r>
        <w:t>Comme l’a relevé le Ministère public, les auditions des personnes concernées n’ont pas permis d’identifier l’auteur de l’infraction, préalable indispensable à la poursuite pénale. Dès lors, il convient de déterminer s’il existe un autre moyen de preuve qui pourrait être mis en œuvre, afin d’élucider les faits. En l’espèce, même si l’expertise graphologique requise par la recourante n’offrirait pas un résultat certain, elle permettrait au moins d’exclure que B.________ ait elle-même signé le contrat de bail à loyer si tel est le cas. De plus, il n’est pas exclu qu’il puisse être établi par l’expertise que la signature a été usurpée, voire déterminer quelle main l’a tracée ou même dater le moment de l’apposition de celle-ci. Les investigations pourraient être approfondies utilement par le Ministère public, afin de déterminer quel avantage illicite cette signature pourrait apporter à l’une ou l’autre des personnes entendues dans le cadre de la procédure, de même que les autres éléments constitutifs de l’infraction. Au vu des éléments qui précèdent, même si l’expertise graphologique paraît coûteuse, les éléments factuels qu’elle est susceptible d’apporter (signature véritable ou usurpée, suspicion d’auteur par âge ou type d’écriture, époque de la signature) pourraient permettre d’orienter les investigations. Le Ministère public ne pouvait ainsi pas renoncer à la mettre en œuvre. Partant, la non-entrée en matière viole l’art. 310 al. 1 let. a CPP. Il appartenait en effet au procureur d’épuiser les moyens de preuve disponibles. La cause doit ainsi lui être renvoyée pour ouverture d’une instruction, singulièrement pour la mise en œuvre d’une expertise graphologique, puis pour investiguer plus avant les circonstances dans 12J010</w:t>
      </w:r>
    </w:p>
    <w:p>
      <w:r>
        <w:t>- 10 - lesquelles la signature a été apposée et quels bénéfices chacun des protagonistes pouvaient en tirer. Dans ce contexte, il serait sans doute opportun d’entendre une nouvelle fois les parties et d’examiner l’intégralité des messages que celles-ci ont échangé dans les jours précédant la remise des clés et l’état des lieux de sortie.</w:t>
      </w:r>
    </w:p>
    <w:p>
      <w:r>
        <w:rPr>
          <w:b/>
        </w:rPr>
        <w:t>E. 3</w:t>
      </w:r>
    </w:p>
    <w:p>
      <w:r>
        <w:t>Au vu de ce qui précède, le recours doit être admis et l’ordonnance entreprise annulée. Le dossier de la cause est renvoyé au Ministère public pour qu’il procède dans le sens des considérants qui précèdent. Vu le sort du recours, les frais de la procédure, constitués en l’espèce du seul émolument d’arrêt, par 1’100 fr. (art. 20 al. 1 TFIP [tarif des frais de procédure et indemnités en matière pénale du 28 septembre 2010 ; BLV 312.03.1]), seront laissés à la charge de l’Etat (art. 428 al. 4 CPP). Le montant de 770 fr. versé par la recourante à titre de sûretés lui sera par ailleurs restitué (art. 7 TFIP). La recourante, qui a procédé avec l’assistance d’un conseil de choix et qui a obtenu gain de cause, a droit, à la charge de l’Etat, à une indemnité pour les dépenses obligatoires occasionnées par la procédure de recours (art. 433 al. 1 let. a CPP, applicable par renvoi de l’art. 436 al. 1 CPP). Compte tenu de la nature de l’affaire et de l’acte de recours déposé, il n’y a pas lieu de s’écarter de la durée de 4 heures alléguées. Elles seront toutefois indemnisées au tarif horaire de 300 fr. (art. 26a al. 3 TFIP), ce qui correspond à une indemnité de 1’200 francs. A ce montant, il convient d’ajouter des débours forfaitaires à concurrence de 2 % des honoraires admis (art. 19 al. 2 TDC [tarif des dépens en matière civile du 23 novembre 2010 ; BLV 270.11.6], applicable par renvoi de l’art. 26a al. 6 TFIP), par 24 fr., plus la TVA au taux de 8,1 %, par 99 fr. 15, soit à 1’324 fr. au total en chiffres arrondis. 12J010</w:t>
      </w:r>
    </w:p>
    <w:p>
      <w:r>
        <w:t>- 11 - Par ces motifs, la Chambre des recours pénale prononce : I. Le recours est admis. II. L’ordonnance du 12 janvier 2026 est annulée. III. Le dossier de la cause est renvoyé au Ministère public de l’arrondissement de l’Est vaudois pour qu’il procède dans le sens des considérants. IV. Les frais d’arrêt, par 1’100 fr. (mille cent francs), sont laissés à la charge de l’Etat. V. Le montant de 770 fr. (sept cent septante francs) versé par B.________ à titre de sûretés lui est restitué. VI. Une indemnité de 1’324 fr. (mille trois cent vingt-quatre francs) est allouée à B.________ pour la procédure de recours, à la charge de l’Etat. VII. L’arrêt est exécutoire. La présidente : La greffière : Du Le présent arrêt, dont la rédaction a été approuvée à huis clos, est notifié, par l’envoi d’une copie complète, à : - Me Stefan Disch, avocat (pour B.________), - Ministère public central, et communiqué à : - M. le Procureur de l’arrondissement de l’Est vaudois, - Me Nathanaël Petermann, avocat (pour F.________), 12J010</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