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PE25.020944 vom 13. Dezember 2025</w:t>
      </w:r>
    </w:p>
    <w:p>
      <w:r>
        <w:t>VD Tribunal cantonal, 2025-12-13, FR</w:t>
      </w:r>
    </w:p>
    <w:p>
      <w:r>
        <w:rPr>
          <w:b/>
        </w:rPr>
        <w:t xml:space="preserve">Quelle: </w:t>
      </w:r>
      <w:r>
        <w:t>https://mcp.opencaselaw.ch/entscheid/vd_gerichte_PE25.020944</w:t>
      </w:r>
    </w:p>
    <w:p>
      <w:r>
        <w:t>FR: VD_GERICHTE PE25.020944 du 13 décembre 2025</w:t>
      </w:r>
    </w:p>
    <w:p>
      <w:r>
        <w:t>IT: VD_GERICHTE PE25.020944 del 13 dicembre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12J010</w:t>
      </w:r>
    </w:p>
    <w:p>
      <w:r>
        <w:t>- 4 -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28 octobre 2025/820 consid. 1.2).</w:t>
      </w:r>
    </w:p>
    <w:p>
      <w:r>
        <w:rPr>
          <w:b/>
        </w:rPr>
        <w:t>E. 1.3</w:t>
      </w:r>
    </w:p>
    <w:p>
      <w:r>
        <w:t>En l’espèce, le recours a été interjeté en temps utile auprès de l’autorité compétente par la partie plaignante qui a qualité pour recourir (art. 382 al. 1 CPP). Il est recevable, sous réserve de ce qui sera exposé ci- dessous (cf. infra consid. 2.5).</w:t>
      </w:r>
    </w:p>
    <w:p>
      <w:r>
        <w:rPr>
          <w:b/>
        </w:rPr>
        <w:t>E. 2.1</w:t>
      </w:r>
    </w:p>
    <w:p>
      <w:r>
        <w:t>Le recourant soutient, d’une part, que les clés USB prétendument dérobées contenaient des informations déterminantes à l’encontre de son coprévenu dans le cadre d’une procédure pénale. Il fait valoir, d’autre part, que sa mère, lors de la réception de l’enveloppe, a constaté que celle-ci n’était ni abîmée ni endommagée, mais simplement ouverte, ce qu’une machine de tri n’aurait, selon lui, pas pu provoquer. Il ajoute encore que la survenance de cet événement coïnciderait avec les déclarations de sa compagne, laquelle aurait indiqué, lors de son audition, que des courriers lui étaient dérobés, circonstance qui fournirait, à ses yeux, des éléments suffisants pour ordonner l’ouverture d’une enquête pénale. Il précise à cet égard qu’il serait domicilié, depuis plus d’une année, chez sa compagne, de sorte qu’il serait habilité à déposer plainte pour les vols prétendument commis à l’adresse de cette dernière. À l’appui de son 12J010</w:t>
      </w:r>
    </w:p>
    <w:p>
      <w:r>
        <w:t>- 5 - recours, B.________ a produit le procès-verbal d’audition de D.________ du 14 octobre 2025.</w:t>
      </w:r>
    </w:p>
    <w:p>
      <w:r>
        <w:rPr>
          <w:b/>
        </w:rPr>
        <w:t>E. 2.2</w:t>
      </w:r>
    </w:p>
    <w:p>
      <w:r>
        <w:t>L’art. 139 ch. 1 CP dispose que quiconque, pour se procurer ou procurer à un tiers un enrichissement illégitime, soustrait une chose mobilière appartenant à autrui dans le but de se l’approprier est puni d’une peine privative de liberté de cinq ans au plus ou d’une peine pécuniaire. Selon l’art. 172ter CP, si l’acte ne visait qu’un élément de faible valeur ou un dommage de moindre importance, l’auteur sera, sur plainte, puni d’une amende. L’infraction de vol exige un dessein d’enrichissement illégitime (Dupuis et al. [éd.], Petit commentaire, Code pénal, 2e éd., Bâle 2017, n. 23 ad Rem. prél. aux art. 137 ss CP). La notion d’enrichissement désigne toute forme d’amélioration de la situation patrimoniale, y compris temporaire. Un avantage d’ordre purement idéal ne suffit toutefois pas (ibidem, n. 25 ad Rem. prél. aux art. 137 ss CP et le références citées).</w:t>
      </w:r>
    </w:p>
    <w:p>
      <w:r>
        <w:rPr>
          <w:b/>
        </w:rPr>
        <w:t>E. 2.3</w:t>
      </w:r>
    </w:p>
    <w:p>
      <w:r>
        <w:t>Selon l’art. 179 CP, quiconque, sans en avoir le droit, ouvre un pli ou colis fermé pour prendre connaissance de son contenu, quiconque, ayant pris connaissance de certains faits en ouvrant un pli ou colis fermé qui ne lui est pas destiné, divulgue ces faits ou en tire profit, est, sur plainte, puni d’une amende.</w:t>
      </w:r>
    </w:p>
    <w:p>
      <w:r>
        <w:rPr>
          <w:b/>
        </w:rPr>
        <w:t>E. 2.4.1</w:t>
      </w:r>
    </w:p>
    <w:p>
      <w:r>
        <w:t>Selon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(ATF 147 IV 269 consid. 3.1). En règle générale, seul peut se prévaloir d'une atteinte directe le titulaire du bien juridique protégé par la disposition pénale qui a été enfreinte (ATF 148 IV 256 consid. 3.1). Les droits touchés sont les biens juridiques individuels tels que la vie, l'intégrité corporelle, la propriété, l'honneur, etc. (ATF 141 IV 1 consid. 3.1). Lorsque la norme ne protège pas 12J010</w:t>
      </w:r>
    </w:p>
    <w:p>
      <w:r>
        <w:t>- 6 -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147 IV 269 précité et les arrêts cités ; TF 1B_166/2022 du 27 février 2023 consid. 5.2 ; TF 1B_418/2022 du 17 janvier 2023 consid. 3.1).</w:t>
      </w:r>
    </w:p>
    <w:p>
      <w:r>
        <w:rPr>
          <w:b/>
        </w:rPr>
        <w:t>E. 2.4.2</w:t>
      </w:r>
    </w:p>
    <w:p>
      <w:r>
        <w:t>S’agissant de l’infraction de violation de secrets privés (art. 179 CP), le Tribunal fédéral a précisé que la qualité pour porter plainte n’appartiendrait qu’au destinataire (ATF 101 IV 402 consid. 3, JdT 1977 IV 38). En revanche, une partie de la doctrine considère que le droit de déposer plainte appartient tant à l’expéditeur qu’au destinataire, puisqu’il s’agit de protéger la confidentialité d’une correspondance. Il faudrait alors distinguer en fonction du moment où l’ouverture a lieu, la qualité pour déposer plainte passant de l’expéditeur au destinataire à partir du moment où elle entre dans la sphère d’influence de ce dernier (Dupuis et al. [éd.], op. cit., n° 18 ad art. 179 CP et les références citées).</w:t>
      </w:r>
    </w:p>
    <w:p>
      <w:r>
        <w:rPr>
          <w:b/>
        </w:rPr>
        <w:t>E. 2.5</w:t>
      </w:r>
    </w:p>
    <w:p>
      <w:r>
        <w:t>En l’espèce, le recourant n’expose pas en quoi le constat de la procureure, selon lequel aucun élément ne permet de considérer qu’une infraction pénale aurait été commise s’agissant des deux clés USB disparues, serait erroné. Il se limite à invoquer des faits prétendument similaires rapportés par sa compagne, sans discuter le raisonnement du Ministère public quant à l’invraisemblance d’une interception coordonnée de courriers entre des domiciles situés dans des localités distinctes et 12J010</w:t>
      </w:r>
    </w:p>
    <w:p>
      <w:r>
        <w:t>- 7 - relativement éloignées, ni expliquer quel mobile pourrait justifier de tels actes. Il ne précise pas davantage quelles mesures d’instruction permettraient d’établir ses allégations, la Chambre de céans n’en discernant pas. À cet égard, les liens familiaux l’unissant à la destinataire des deux clés USB ne permettent pas d’accorder une force probante suffisante aux seules déclarations de celle-ci, de sorte que la procureure pouvait renoncer d’emblée à son audition. Dans ces conditions, l’acte de recours ne répond pas aux exigences de motivation posées par l’art. 385 al. 1 CPP, de sorte qu’il doit, dans une très large mesure, être déclaré irrecevable. S’agissant des vols de courriers qu’aurait subis sa compagne, le recourant fait valoir qu’il serait domicilié à l’adresse de cette dernière, ce qui lui confèrerait la qualité pour déposer plainte. Or, le seul fait de partager une boîte aux lettres avec un tiers ne fait pas du recourant le titulaire des droits attachés aux envois adressés à celui-ci. A cet égard, il ne soutient pas que les courriers prétendument soustraits lui étaient destinés, de sorte qu’il n’apparaît, au mieux, qu’indirectement concerné, ce qui est insuffisant pour lui reconnaître la qualité de lésé. Partant, il n’a pas qualité pour déposer plainte pour des faits commis au préjudice de sa compagne. Ce moyen doit dès lors être rejeté. Au surplus, on relèvera, s’agissant des clés USB, que l’infraction de vol (art. 139 CP) n’apparaît de toute manière pas réalisée, faute d’indices permettant de concevoir que l’auteur dénoncé aurait agi dans un dessein d’enrichissement illégitime. De plus, quand bien même une autre infraction contre le patrimoine devrait être envisagée, le recourant ne démontre pas qu’il serait titulaire d’un droit de propriété sur les clés USB que sa mère était censée recevoir du cabinet d’avocats C.________. Il s’ensuit que, là encore, sa qualité pour déposer plainte devrait lui être déniée. Il en va de même s’agissant de l’infraction de violation de secrets privés (art. 179 CP), le recourant n’étant ni l’expéditeur ni le destinataire de l’envoi contenant les deux clés USB, de sorte qu’il pourrait tout au plus être lésé indirectement par l’ouverture indue du courrier, ce qui n’est pas suffisant pour lui conférer 12J010</w:t>
      </w:r>
    </w:p>
    <w:p>
      <w:r>
        <w:t>- 8 - la qualité de lésé. Pour ces motifs également, c’est à juste titre que le Ministère public a refusé d’entrer en matière.</w:t>
      </w:r>
    </w:p>
    <w:p>
      <w:r>
        <w:rPr>
          <w:b/>
        </w:rPr>
        <w:t>E. 3</w:t>
      </w:r>
    </w:p>
    <w:p>
      <w:r>
        <w:t>Au vu de ce qui précède, le recours, manifestement mal fondé, doit être rejeté dans la mesure où il est recevable, sans échange d’écritures (art. 390 al. 2 CPP), et l’ordonnance du 18 novembre 2025 confirmée. Les frais de la procédure de recours, constitués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18 novembre 2025 est confirmée. III. Les frais d’arrêt, par 770 fr. (sept cent septante francs), sont mis à la charge de B.________. IV. L’arrêt est exécutoire. Le président : Le greffier : Du Le présent arrêt, dont la rédaction a été approuvée à huis clos, est notifié, par l'envoi d'une copie complète, à : - M. B.________, - Ministère public central, 12J010</w:t>
      </w:r>
    </w:p>
    <w:p>
      <w:r>
        <w:t>- 9 -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