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PE25.020896 vom 12. November 2025</w:t>
      </w:r>
    </w:p>
    <w:p>
      <w:r>
        <w:t>VD Tribunal cantonal, 2025-11-12, FR</w:t>
      </w:r>
    </w:p>
    <w:p>
      <w:r>
        <w:rPr>
          <w:b/>
        </w:rPr>
        <w:t xml:space="preserve">Quelle: </w:t>
      </w:r>
      <w:r>
        <w:t>https://mcp.opencaselaw.ch/entscheid/vd_gerichte_PE25.020896</w:t>
      </w:r>
    </w:p>
    <w:p>
      <w:r>
        <w:t>FR: VD_GERICHTE PE25.020896 du 12 novembre 2025</w:t>
      </w:r>
    </w:p>
    <w:p>
      <w:r>
        <w:t>IT: VD_GERICHTE PE25.020896 del 12 novembre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10 octobre 2025/771 consid. 1.1 et la référence citée).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est recevable.</w:t>
      </w:r>
    </w:p>
    <w:p>
      <w:r>
        <w:rPr>
          <w:b/>
        </w:rPr>
        <w:t>E. 2.1</w:t>
      </w:r>
    </w:p>
    <w:p>
      <w:r>
        <w:t>Le recourant soutient qu’il n’y aurait pas lieu de tenir compte du fait qu’il n’a pas entièrement reconnu les faits qui lui sont reprochés, la reconnaissance de la culpabilité n’étant pas une condition pour bénéficier du régime d’exécution anticipée de peine. S’agissant de la volonté du Ministère public de limiter les interactions entre les parties, le recourant relève que les auditions des plaignantes ont eu lieu le 30 octobre 2025 et</w:t>
      </w:r>
    </w:p>
    <w:p>
      <w:r>
        <w:t>- 5 - qu’il en était ressorti que, malgré les mesures mises en place, il avait pu communiquer avec A.N.________ avant l’audition. Il relève encore que le passage en exécution anticipée de peine n’exclut pas d’imposer certaines conditions, comme la limitation des contacts avec l’extérieur. Il justifie pour finir son souhait de passer en régime d’exécution anticipée de peine par son besoin de travailler.</w:t>
      </w:r>
    </w:p>
    <w:p>
      <w:r>
        <w:rPr>
          <w:b/>
        </w:rPr>
        <w:t>E. 2.2</w:t>
      </w:r>
    </w:p>
    <w:p>
      <w:r>
        <w:t>Selon l'art. 236 CPP,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(al. 1). Dès l’entrée du prévenu dans l’établissement, l’exécution de la peine ou de la mesure commence et le prévenu est soumis au régime de l’exécution (al. 4). Les alinéas 1 et 4 précités sont entrés en vigueur le 1er janvier 2024 (RO 2023 p. 468). Il découle de leur nouvelle teneur que si le but de la détention provisoire ou pour des motifs de sûreté est mis en danger par le régime d'exécution ordinaire, l'exécution anticipée de peine ne peut pas être autorisée (cf. art. 236 al. 1 CPP). Cette condition doit être examinée au moment de l'autorisation et non au stade de la mise en œuvre de l'exécution proprement dite, comme sous l'ancien droit (cf. art. 236 al. 4 aCPP a contrario). Les établissements pénitentiaires ne pouvant pas appliquer différents régimes d'exécution à la fois (cf. Message du Conseil fédéral du 28 août 2019 concernant la modification du Code de procédure pénale, FF 2019 pp. 6351 ss, spéc. p. 6401), l'exécution anticipée de peine ne peut ainsi être accordée que si elle peut être exécutée sans restriction selon le régime d'exécution ordinaire (TF 7B_791/2025 du 8 octobre 2025 consid. 2.2.2 et les références citées). Selon cette nouvelle législation, l'exécution anticipée de peine est donc en principe exclue en cas de risque de collusion. En effet, des régimes d'exécution anticipée de peine soumis à des conditions visant à pallier un tel danger ne sont plus tolérés, puisque les conditions de</w:t>
      </w:r>
    </w:p>
    <w:p>
      <w:r>
        <w:t>- 6 - détention ordinaires doivent être applicables pour l'ensemble des détenus (TF 7B_791/2025 précité consid. 2.2.3 et les références citées). Selon la jurisprudence, il peut notamment y avoir collusion au sens de l'art. 221 al. 1 let. b CPP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risque de collusion vise à empêcher le prévenu de mettre en danger la recherche de la vérité.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(ATF 137 IV 122 consid. 4.2 ; ATF 132 I 21 consid. 3.2). Plus l'instruction se trouve à un stade avancé et les faits sont établis avec précision, plus les exigences relatives à la preuve de l'existence d'un risque de collusion sont élevées (ATF 137 IV 122 consid. 4.2 ; TF 7B_791/2025 précité consid. 2.3.1 et 2.3.2 et les références citées). S’agissant du « stade de la procédure » permettant une exécution anticipée de la peine ou de la mesure, celui-ci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w:t>
      </w:r>
    </w:p>
    <w:p>
      <w:r>
        <w:t>- 7 - se déroule l'administration des preuves (TF 1B_107/2020 du 24 mars 2020 consid. 2.1 ; CREP 15 mai 2025/357 consid. 2.2.1). Si, selon le texte de la disposition, l’approbation de la demande d’exécution anticipée n’exige pas d’aveux de la part du prévenu, il est cependant évident que des aveux complets du prévenu rendent plus aisée l’approbation de la demande d’exécution anticipée de peine et il semble logique que seul un prévenu reconnaissant les faits demande une telle exécution. Cependant, un aveu seulement partiel ne s’oppose pas à un placement en exécution anticipée de la peine. La question du risque de collusion devra cependant être examinée avec attention dans ce cadre (Moreillon/Parein-Reymond, Petit commentaire du Code de procédure pénale, 3e éd., Bâle 2025, n. 9 ad art. 236 CPP).</w:t>
      </w:r>
    </w:p>
    <w:p>
      <w:r>
        <w:rPr>
          <w:b/>
        </w:rPr>
        <w:t>E. 2.3</w:t>
      </w:r>
    </w:p>
    <w:p>
      <w:r>
        <w:t>En l’espèce, à titre d’exemples, dans ses courrier des 7, 13 et 23 octobre 2025 adressés au Ministère public, le recourant déclare (sic) : « je plaide coupable des crimes donc vous me reprocher », « vous me reprocher des chose que y a pas lieux », « j’ai rien fait moi », « je suis ici alors que je n’ai pas comie de delie apar avoir etait contre votre demande de retourné sur Evian ». Ainsi, bien que le passage en régime d’exécution anticipée de peine ne suppose pas une pleine reconnaissance des faits par l’intéressé, les aveux fluctuants du recourant commandent d’examiner avec particulièrement de vigilance la question de l’existence d’un risque de collusion. Or, il ressort d’un courrier du 29 octobre 2025 du Ministère public adressé au défenseur du recourant (P. 34), ainsi que des déterminations du 30 octobre 2025 du Ministère public adressées au Tribunal des mesures de contrainte relatives à la demande libération de détention provisoire datée du 23 octobre 2025 (P. 38), que le recourant a éludé les modalités de contrôle du courrier sortant, en faisant passer son courrier par un autre détenu soumis à un régime plus ouvert. Le recourant a d’ailleurs lui-même reconnu avoir pu communiquer avec A.N.________ malgré les mesures de prévention inhérentes au régime de détention provisoire. Il ne peut ainsi être exclu qu’il tente, par des menaces</w:t>
      </w:r>
    </w:p>
    <w:p>
      <w:r>
        <w:t>- 8 - notamment, d’influencer les versions de A.N.________ et B.N.________, qu’il conteste. Le risque de collusion est donc patent. Au regard de la jurisprudence récente du Tribunal fédéral, un régime d’exécution anticipée de peine soumis à des conditions visant à pallier un risque de collusion, comme la limitation des contacts avec l’extérieur, n’est plus toléré. En outre, le stade de la procédure ne se prête pas à un passage en exécution anticipée de peine. L’instruction a été ouverte il y a à peine plus d’un mois. Les investigations se poursuivent, notamment au sujet du déroulement des faits dans la nuit du 30 septembre 2025 et s’agissant de l’activité du recourant sur les réseaux sociaux, et pourraient nécessiter la présence du recourant dans un lieu de détention à proximité. Enfin, le « besoin de travailler » du recourant est dépourvu de pertinence dans le cadre du présent examen. Ainsi, au regard du risque de collusion, du stade très précoce de la procédure et de l’activité criminelle du recourant, dont les faits ne sont pas de peu de gravité, un passage en régime d’exécution anticipée de peine est exclu.</w:t>
      </w:r>
    </w:p>
    <w:p>
      <w:r>
        <w:rPr>
          <w:b/>
        </w:rPr>
        <w:t>E. 3</w:t>
      </w:r>
    </w:p>
    <w:p>
      <w:r>
        <w:t>Au vu de ce qui précède, le recours, manifestement mal fondé , doit être rejeté sans échange d’écritures (art. 390 al. 2 CPP), et l’ordonnance du 27 octobre 2025 confirmée. La requête du recourant tendant à la désignation de Me Nadia Calabria en qualité de défenseur d'office est superfétatoire. En effet, contrairement à l’assistance judiciaire gratuite pour la partie plaignante et la victime, qui doit faire l’objet d’une nouvelle demande lors de la procédure de recours (art. 136 al. 3 CPP dans sa teneur dès le 1er janvier 2024), le droit à une défense d’office vaut pour toutes les étapes de la procédure cantonale. Il n’y a donc pas lieu de procéder à une nouvelle désignation par l’autorité de recours d’un défenseur d’office déjà désigné par l’autorité inférieure.</w:t>
      </w:r>
    </w:p>
    <w:p>
      <w:r>
        <w:t>- 9 - Il convient d’allouer à Me Nadia Calabria, défenseur d’office de P.________, une indemnité pour la procédure de recours. Au regard de l’acte de recours déposé et de la relative simplicité de la cause, il y a lieu de retenir 1h30 d’activité au tarif horaire de 180 fr. (art. 2 al. 1 let. a et 3 al. 2 RAJ [règlement sur l'assistance judiciaire en matière civile du 7 décembre 2010 ; BLV 211.02.3] par renvoi de l’art. 26b TFIP [tarif des frais de procédure et indemnités en matière pénale du 28 septembre 2010 ; BLV 312.03.1]). L’indemnité nette s’élève ainsi à 270 francs. Viennent s’y ajouter des débours forfaitaires à hauteur de 2 % des honoraires admis (art. 3bis al. 1 RAJ), par 5 fr. 40, et la TVA au taux de 8,1 % sur le tout, par 22 fr. 30. L’indemnité d’office s’élève ainsi à 298 fr. au total en chiffres arrondis. Les frais de la procédure de recours, constitués en l’espèce de l’émolument d’arrêt, par 990 fr. (art. 20 al. 1 TFIP), et de l’indemnité due au défenseur d’office (art. 422 al. 1 et 2 let. a CPP), par 298 fr., seront mis à la charge de P.________, qui succombe (art. 428 al. 1 CPP). Le remboursement à l’Etat de l’indemnité allouée au défenseur d’office sera exigible de P.________ dès que sa situation financière le permettra (art. 135 al. 4 CPP). Par ces motifs, la Chambre des recours pénale prononce : I. Le recours est rejeté. II. L’ordonnance du 27 octobre 2025 est confirmée. III. L’indemnité allouée à Me Nadia Calabria, défenseur d’office de P.________, est fixée à 298 fr. (deux cent nonante-huit francs). IV. Les frais d’arrêt, par 990 fr. (neuf cent nonante francs), ainsi que l’indemnité allouée à Me Nadia Calabria, par 298 fr. (deux cent nonante-huit francs), sont mis à la charge de P.________.</w:t>
      </w:r>
    </w:p>
    <w:p>
      <w:r>
        <w:t>- 10 - V. Le remboursement à l’Etat de l’indemnité allouée au chiffre III ci-dessus sera exigible de P.________ dès que sa situation financière le permettra. VI. L’arrêt est exécutoire. Le président : Le greffier : Du Le présent arrêt, dont la rédaction a été approuvée à huis clos, est notifié, par l'envoi d'une copie complète, à : - Me Nadia Calabria, avocate (pour P.________), - Ministère public central, et communiqué à : - Mme la Procureure de l’arrondissement du Nord vaudois, - Office d’exécution des peines,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