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PE25.020220 vom 7. April 2026</w:t>
      </w:r>
    </w:p>
    <w:p>
      <w:r>
        <w:t>VD Tribunal cantonal, 2026-04-07, FR</w:t>
      </w:r>
    </w:p>
    <w:p>
      <w:r>
        <w:rPr>
          <w:b/>
        </w:rPr>
        <w:t xml:space="preserve">Quelle: </w:t>
      </w:r>
      <w:r>
        <w:t>https://mcp.opencaselaw.ch/entscheid/vd_gerichte_PE25.020220</w:t>
      </w:r>
    </w:p>
    <w:p>
      <w:r>
        <w:t>FR: VD_GERICHTE PE25.020220 du 7 avril 2026</w:t>
      </w:r>
    </w:p>
    <w:p>
      <w:r>
        <w:t>IT: VD_GERICHTE PE25.020220 del 7 aprile 2026</w:t>
      </w:r>
    </w:p>
    <w:p>
      <w:pPr>
        <w:pStyle w:val="Heading2"/>
      </w:pPr>
      <w:r>
        <w:t>Erwägungen</w:t>
      </w:r>
    </w:p>
    <w:p>
      <w:r>
        <w:rPr>
          <w:b/>
        </w:rPr>
        <w:t>E. 1</w:t>
      </w:r>
    </w:p>
    <w:p>
      <w:r>
        <w:t>CPP), le recours est recevable.</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seul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12J010</w:t>
      </w:r>
    </w:p>
    <w:p>
      <w:r>
        <w:t>- 7 - sexuelle d’autrui en commettant un crime ou un délit grave et qu’il y a un danger sérieux et imminent qu’il commette un crime grave du même genre. Les conditions prévues par l’art. 221 al. 1 CPP sont alternatives et non cumulatives (TF 7B_126/2025 du 18 décembre 2025 consid. 7 ; TF 7B_144/2025 du 24 mars 2025 consid. 3.3 et les arrêts cités).</w:t>
      </w:r>
    </w:p>
    <w:p>
      <w:r>
        <w:rPr>
          <w:b/>
        </w:rPr>
        <w:t>E. 2.2</w:t>
      </w:r>
    </w:p>
    <w:p>
      <w:r>
        <w:t>;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3.1</w:t>
      </w:r>
    </w:p>
    <w:p>
      <w:r>
        <w:t>Le recourant nie en revanche l’existence des risques de fuite et de collusion constatés par le premier juge. S’agissant du premier de ces risques, il expose être arrivé en Suisse en 2006, soit il y a 20 ans, qu’il possède un diplôme de comptable, qu’il a travaillé comme serveur et qu’il a entamé une formation d’aide-cuisinier. Il précise également avoir eu un enfant en Suisse et être aujourd’hui séparé de la mère de ce dernier. De plus, ses frères et sœurs seraient également domiciliés en Suisse, il maîtriserait parfaitement le français et, avant sa mise en détention, il aurait entamé une procédure de renouvellement de son permis B. Selon lui, ses liens avec la Suisse, où il a travaillé, noué de solides amitiés et constitué une « famille », seraient bien plus forts qu’avec le Portugal ou la France, contrairement à ce qu’aurait retenu l’autorité intimée.</w:t>
      </w:r>
    </w:p>
    <w:p>
      <w:r>
        <w:rPr>
          <w:b/>
        </w:rPr>
        <w:t>E. 3.2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12J010</w:t>
      </w:r>
    </w:p>
    <w:p>
      <w:r>
        <w:t>- 8 - (Moreillon/Parein-Reymond, Petit Commentaire, Code de procédure pénale, 3e éd., Bâle 2025,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w:t>
      </w:r>
    </w:p>
    <w:p>
      <w:r>
        <w:rPr>
          <w:b/>
        </w:rPr>
        <w:t>E. 3.3</w:t>
      </w:r>
    </w:p>
    <w:p>
      <w:r>
        <w:t>En l’espèce, l’analyse du Tribunal des mesures de contrainte ne prête pas le flanc à la critique et doit être confirmée. L’argumentation du recourant n’est pas convaincante. En effet, celui-ci, âgé de 38 ans, est ressortissant portugais, a effectué l’entier de sa scolarité en France, à V***, est arrivé en Suisse en 2006, à l’âge de 18 ans, pour y travailler en tant que serveur. S’il a certes vécu en Suisse pendant près de 20 ans, ses liens avec ce pays doivent néanmoins être relativisés, dès lors que son permis B est échu et qu’il ne dispose plus de sources de revenus licites. Vu la gravité des faits qui lui sont reprochés, on peut sérieusement craindre qu’il ne se réfugie dans la clandestinité ou quitte la Suisse pour le Portugal – pays qui n’extrade pas ses ressortissants – ou pour la France, étant précisé qu’il a déclaré se rendre régulièrement à V*** et faire des allers-retours entre cette ville et W***. Partant, c’est à juste titre que le Tribunal des mesures de contrainte a admis l’existence d’un risque de fuite.</w:t>
      </w:r>
    </w:p>
    <w:p>
      <w:r>
        <w:rPr>
          <w:b/>
        </w:rPr>
        <w:t>E. 4.1</w:t>
      </w:r>
    </w:p>
    <w:p>
      <w:r>
        <w:t>Le recourant nie en outre l’existence d’un risque de collusion. A ce propos, il expose qu’il y a déjà eu 11 auditions qui ont permis de fixer 12J010</w:t>
      </w:r>
    </w:p>
    <w:p>
      <w:r>
        <w:t>- 9 - avec une quasi-certitude les faits qui lui sont reprochés. Même si le Tribunal des mesures de contrainte a relevé que certaines zones d’ombre et contradictions demeuraient, il appartiendrait au juge du fond de se prononcer et le prévenu n’aurait, à ce stade, pas la possibilité d’interférer dans la procédure. De toute manière, toute nouvelle déclaration revenant sur des dépositions antérieures ne serait pas sérieuse à ce stade. Enfin, les enquêteurs auraient entrepris toutes les mesures techniques nécessaires. Il en découlerait qu’une mise en liberté du recourant n’aurait pas d’impact sur l’enquête pour ce qui concerne les faits les plus graves qui lui sont reprochés. Enfin, en ce qui concerne le volet valaisan de cette affaire, son complice se trouverait en détention provisoire, de sorte qu’il ne pourrait de toute façon pas entrer en contact avec lui.</w:t>
      </w:r>
    </w:p>
    <w:p>
      <w:r>
        <w:rPr>
          <w:b/>
        </w:rPr>
        <w:t>E. 4.2</w:t>
      </w:r>
    </w:p>
    <w:p>
      <w:r>
        <w:t>; ATF 132 I 21 consid. 3.2 ; TF 7B_337/2025 du 8 mai 2025 consid. 3.2.1 et les références citées).</w:t>
      </w:r>
    </w:p>
    <w:p>
      <w:r>
        <w:rPr>
          <w:b/>
        </w:rPr>
        <w:t>E. 4.3</w:t>
      </w:r>
    </w:p>
    <w:p>
      <w:r>
        <w:t>En l’occurrence, on ne peut que considérer que le recourant présente un risque concret de collusion. Tout d’abord, il apparaît que celui- ci est capable de se montrer violent et menaçant, notamment à l’égard des personnes travaillant pour lui dans le cadre du trafic de cocaïne qui lui est reproché. Les déclarations de G.________ sont éloquentes sur ce point et il n’y a aucune raison de les mettre en doute. De surcroît, le récent ajout de l’enquête valaisanne entraînera des mesures d’instruction complémentaires, notamment des auditions d’éventuels clients du recourant. Il est donc essentiel que celui-ci ne puisse pas contacter ces personnes ni d’éventuels autres complices. A ce propos, il convient de rappeler que ce risque peut être retenu jusqu’aux débats (TF 1B_107/2020 du 24 mars 2020 consid. 2.3), moment auquel le juge du fond devra se forger une intime conviction sur l’état des faits à juger. Ainsi, il est fort à craindre que le recourant, s'il était remis en liberté, tente notamment d'influencer les personnes liées au trafic reproché afin de ne pas aggraver davantage les charges pesant sur lui. Compte tenu de ce qui précède, c’est à juste titre que le Tribunal des mesures de contrainte a retenu qu’il fallait prévenir l’enquête de toute interférence.</w:t>
      </w:r>
    </w:p>
    <w:p>
      <w:r>
        <w:rPr>
          <w:b/>
        </w:rPr>
        <w:t>E. 5.1</w:t>
      </w:r>
    </w:p>
    <w:p>
      <w:r>
        <w:t>Le recourant soutient encore que les mesures de substitution proposées seraient susceptibles de pallier les risques retenus.</w:t>
      </w:r>
    </w:p>
    <w:p>
      <w:r>
        <w:rPr>
          <w:b/>
        </w:rPr>
        <w:t>E. 5.2</w:t>
      </w:r>
    </w:p>
    <w:p>
      <w:r>
        <w:t>Conformément au principe de la proportionnalité ancré à l'art. 36 al. 3 Cst. (Constitution fédérale de la Confédération suisse du 18 avril 12J010</w:t>
      </w:r>
    </w:p>
    <w:p>
      <w:r>
        <w:t>- 11 - 1999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si ces mesures permettent d'atteindre le même but que la détention. En vertu de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de l'art. 237 al. 2 CPP est exemplative et le juge de la détention peut également, le cas échéant, assortir les mesures de substitution de toute condition propre à en garantir l'efficacité (ATF 150 IV 360 consid. 3.5.2 ; ATF 145 IV 503 consid. 3.1 ; TF 7B_428/2025 du 19 juin 2025 consid. 3.2). De jurisprudence constante, le Tribunal fédéral considère que la saisie des documents d'identité n'est pas de nature à empêcher un recourant de passer dans la clandestinité ou de s'enfuir à l'étranger (ATF 145 IV 503 consid. 3.2 et 3.3.2), en particulier dans un pays limitrophe pouvant être rejoint par la voie terrestre en principe sans contrôle d'identité en raison de l'Espace Schengen ; de même, une interdiction de quitter la Suisse, respectivement l'obligation de se présenter régulièrement à un poste de police ou de donner suite aux convocations judiciaires, sont également impropres à pallier le risque de fuite existant ; il en va finalement de même de toute autre mesure ne reposant que sur la volonté de l'intéressé de s'y soumettre, telle que l'obligation d'avoir un travail régulier (TF 7B_62/2025 du 26 février 2025 consid. 4.6.2 et les références citées ; TF 7B_618/2024 du 25 juin 2024 consid. 3.4.2 et les références citées). 12J010</w:t>
      </w:r>
    </w:p>
    <w:p>
      <w:r>
        <w:t>- 12 -</w:t>
      </w:r>
    </w:p>
    <w:p>
      <w:r>
        <w:rPr>
          <w:b/>
        </w:rPr>
        <w:t>E. 5.3</w:t>
      </w:r>
    </w:p>
    <w:p>
      <w:r>
        <w:t>En l’espèce, le Tribunal des mesures de contrainte a développé une motivation sur l’absence de mesures de substitution propres à pallier les risques de fuite et de collusion. Son appréciation ne prête pas le flanc à la critique et ne peut qu’être confirmée, dès lors qu’elle correspond à la jurisprudence constante du Tribunal fédéral en la matière. A cet égard, ni saisie des documents d'identité, ni l’obligation de se présenter quotidiennement au poste de gendarmerie d’Aigle, ni l’interdiction de contacter les personnes concernées ne sauraient suffire. Ces meures reposent en effet uniquement sur la volonté du recourant de s’y soumettre, ce qui est insuffisant, et ne pourraient empêcher ni une fuite ni des interférences avec l’enquête. Compte tenu de l’intensité de ces risques, aucune autre mesure n'apparaît par ailleurs sérieusement envisageable.</w:t>
      </w:r>
    </w:p>
    <w:p>
      <w:r>
        <w:rPr>
          <w:b/>
        </w:rPr>
        <w:t>E. 6</w:t>
      </w:r>
    </w:p>
    <w:p>
      <w:r>
        <w:t>En définitive, le recours doit être rejeté sans échange d’écritures (art. 390 al. 2 CPP), et l’ordonnance entreprise confirmée. Au vu de la nature de la cause et de l’acte déposé par Me Gilles Miauton, défenseur d’office du recourant,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Viennent s’y ajouter des débours forfaitaires à hauteur de 2 % des honoraires admis (art. 3bis al. 1 RAJ), soit 10 fr. 80, et la TVA au taux de 8,1 % sur le tout, par 44 fr. 60. L’indemnité d’office s’élève ainsi au total à 596 fr. en chiffres arrondis. Vu le sort de la cause, les frais de la procédure de recours, constitués en l’espèce de l’émolument d’arrêt, par 1’320 fr. (art. 20 al. 1 TFIP), et de l’indemnité due au défenseur d’office (art. 422 al. 1 et 2 let. a CPP), par 596 fr., seront mis à la charge du recourant, qui succombe (art. 428 al. 1 CPP). 12J010</w:t>
      </w:r>
    </w:p>
    <w:p>
      <w:r>
        <w:t>- 13 - C.________ sera tenu de rembourser à l’Etat de Vaud l’indemnité allouée à son défenseur d’office dès que sa situation financière le permettra (art. 135 al. 4 CPP). Par ces motifs, la Chambre des recours pénale prononce : I. Le recours est rejeté. II. L’ordonnance du 20 mars 2026 est confirmée. III. L’indemnité allouée à Me Gilles Miauton, défenseur d’office de C.________, est fixée à 596 fr. (cinq cent nonante-six francs). IV. Les frais d’arrêt, par 1’320 fr. (mille trois cent vingt francs), ainsi que l’indemnité due au défenseur d’office du recourant, par 596 fr. (cinq cent nonante-six francs), sont mis à la charge de C.________. V. Le remboursement à l’Etat de l’indemnité allouée au chiffre III ci-dessus sera exigible de C.________ dès que sa situation financière le permettra. VI. L’arrêt est exécutoire. La présidente : La greffière : Du Le présent arrêt, dont la rédaction a été approuvée à huis clos, est notifié, par l'envoi d'une copie complète, à : - Me Gilles Miauton, avocat (pour C.________), - Ministère public central, 12J010</w:t>
      </w:r>
    </w:p>
    <w:p>
      <w:r>
        <w:t>- 14 -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