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PE25.019537 vom 11. Mai 2026</w:t>
      </w:r>
    </w:p>
    <w:p>
      <w:r>
        <w:t>VD Tribunal cantonal, 2026-05-11, FR</w:t>
      </w:r>
    </w:p>
    <w:p>
      <w:r>
        <w:rPr>
          <w:b/>
        </w:rPr>
        <w:t xml:space="preserve">Quelle: </w:t>
      </w:r>
      <w:r>
        <w:t>https://mcp.opencaselaw.ch/entscheid/vd_gerichte_PE25.019537</w:t>
      </w:r>
    </w:p>
    <w:p>
      <w:r>
        <w:t>FR: VD_GERICHTE PE25.019537 du 11 mai 2026</w:t>
      </w:r>
    </w:p>
    <w:p>
      <w:r>
        <w:t>IT: VD_GERICHTE PE25.019537 del 11 maggio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le recours a été interjeté en temps utile auprès de l’autorité compétente, par le mis-en-cause qui a qualité pour recourir dès lors qu’il conteste l’absence d’allocation d’une indemnité au sens de l’art. 429 CPP à la suite d’une non-entrée en matière. Il satisfait en outre aux conditions de forme prescrites (art. 385 al. 1 CPP). Le recours de B.________ est ainsi recevable.</w:t>
      </w:r>
    </w:p>
    <w:p>
      <w:r>
        <w:rPr>
          <w:b/>
        </w:rPr>
        <w:t>E. 1.3</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12J001</w:t>
      </w:r>
    </w:p>
    <w:p>
      <w:r>
        <w:t>- 4 - porte sur les conséquences économiques accessoires d’une décision et que le montant litigieux n’excède pas 5’000 francs. Dans la mesure où le recours porte uniquement sur la question de l’allocation d’une indemnité au sens de l’art. 429 CPP à la suite d’une ordonnance de non-entrée en matière et que le montant en cause est inférieur à 5'000 fr., il relève de la compétence d’un juge unique de la Chambre des recours pénale (art. 13 al. 2 LVCPP).</w:t>
      </w:r>
    </w:p>
    <w:p>
      <w:r>
        <w:rPr>
          <w:b/>
        </w:rPr>
        <w:t>E. 2.1</w:t>
      </w:r>
    </w:p>
    <w:p>
      <w:r>
        <w:t>Le recourant invoque une violation de son droit d’être entendu. Il reproche en substance au Ministère public de ne pas l’avoir interpellé afin qu’il puisse chiffrer et justifier ses prétentions en indemnisation au sens de l’art. 429 CPP et de n’avoir finalement pas statué sur cette question dans l’ordonnance attaquée. Sur le fond, le recourant expose que les conditions de l’art. 429 al. 1 let. a CPP seraient remplies, en ce sens qu’il disposerait de la qualité de prévenu et que les poursuites à son encontre ont été abandonnées. Dans le cadre de l’examen du caractère raisonnable du recours à un avocat, il relève que plusieurs infractions lui ont été reprochées en lien avec plusieurs complexes de faits différents, que certaines infractions constitueraient des délits, que lui-même présenterait un « trouble du spectre de l’autisme » et que lorsqu’il a sollicité l’assistance d’un défenseur, il avait à peine 18 ans et risquait une inscription au casier judiciaire, laquelle aurait pu avoir des conséquences sur sa demande de naturalisation suisse. Au vu de ces éléments, le recours à un avocat serait parfaitement raisonnable et justifié.</w:t>
      </w:r>
    </w:p>
    <w:p>
      <w:r>
        <w:rPr>
          <w:b/>
        </w:rPr>
        <w:t>E. 2.2.1</w:t>
      </w:r>
    </w:p>
    <w:p>
      <w:r>
        <w:t>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12J001</w:t>
      </w:r>
    </w:p>
    <w:p>
      <w:r>
        <w:t>- 5 - l’art. 429 al. 1 CPP entre également en considération dans cette hypothèse (ATF 139 IV 241 consid. 1 ; TF 7B_788/2023, 7B_803/2023 du 12 juin 2025 ; Moreillon/Parein-Reymond, Petit Commentaire, Code de procédure pénale, 3e éd., Bâle 2025, n. 9 ad art. 429 CPP). La non-entrée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w:t>
      </w:r>
    </w:p>
    <w:p>
      <w:r>
        <w:rPr>
          <w:b/>
        </w:rPr>
        <w:t>E. 2.2.2</w:t>
      </w:r>
    </w:p>
    <w:p>
      <w:r>
        <w:t>Selon l’art. 429 al. 2 CPP, l’autorité pénale examine d’office les prétentions du prévenu. Il résulte de cette disposition que l’autorité pénale doit, à tout le moins, interpeller le prévenu sur cette question et, comme le prévoit la loi, l’enjoindre au besoin de chiffrer et justifier ses prétentions en indemnisation (TF 6B_806/2019 du 9 octobre 2019 consid. 1.2 et les réf. citées). Une indemnisation ne saurait être refusée au motif que le prévenu n’a élevé aucune prétention alors même qu’il n’a pas été interpellé (CREP 28 août 2025/649 consid. 2.2.2;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w:t>
      </w:r>
    </w:p>
    <w:p>
      <w:r>
        <w:rPr>
          <w:b/>
        </w:rPr>
        <w:t>E. 2.2.3</w:t>
      </w:r>
    </w:p>
    <w:p>
      <w:r>
        <w:t>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12J001</w:t>
      </w:r>
    </w:p>
    <w:p>
      <w:r>
        <w:t>- 6 -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14 mai 2025/240 consid. 2.1 ; CREP 9 mai 2025/345 consid. 2.2 ; CREP 8 mai 2025/343 consid. 2.2.2).</w:t>
      </w:r>
    </w:p>
    <w:p>
      <w:r>
        <w:rPr>
          <w:b/>
        </w:rPr>
        <w:t>E. 2.3</w:t>
      </w:r>
    </w:p>
    <w:p>
      <w:r>
        <w:t>En l’espèce, l’ordonnance attaquée est effectivement muette sur la question de l’allocation d’une indemnité au sens de l’art. 429 CPP. Cela étant, le recourant a été entendu une première fois par la police le 17 décembre 2024, puis une seconde fois le 17 mars 2025, en présence de son défenseur de choix. Le procureur avait ainsi connaissance du mandat confié à Me Stefan Disch, dès lors que cela ressortait notamment des procès- verbaux d’audition. L’ordonnance attaquée a d’ailleurs été notifiée au défenseur du recourant. Indépendamment de la question de savoir si le recours à un avocat était justifié – question de fond sur laquelle il n'y a pas lieu de se prononcer compte tenu du vice procédural qui doit être constaté –, force est d’admettre qu'il ne ressort pas du dossier que le Ministère public aurait interpellé le recourant afin, le cas échéant, qu'il chiffre et justifie ses prétentions en indemnisation au sens de l'art. 429 CPP. Or, conformément à la jurisprudence constante rendue en la matière, ce vice ne peut pas être guéri en seconde instance. Enfin, quand bien même le dispositif de l’ordonnance attaquée précise, s’agissant des frais, que « le solde est traité par ordonnance distincte », on peine à comprendre en quoi consiste ce solde. Afin de garantir le principe de la double instance, le dossier sera renvoyé au premier juge, afin qu’il complète le dispositif par l’adjonction 12J001</w:t>
      </w:r>
    </w:p>
    <w:p>
      <w:r>
        <w:t>- 7 - d’un chiffre valant décision sur la prétention au sens de l’art. 429 CPP du recourant.</w:t>
      </w:r>
    </w:p>
    <w:p>
      <w:r>
        <w:rPr>
          <w:b/>
        </w:rPr>
        <w:t>E. 3</w:t>
      </w:r>
    </w:p>
    <w:p>
      <w:r>
        <w:t>Au vu de ce qui précède, le recours doit être admis et le dossier de la cause renvoyé au Ministère public pour qu’il procède dans le sens des considérants. Vu le sort du recours, les frais de la procédure, constitués en l’espèce du seul émolument d’arrêt (art. 422 al. 1 CPP), par 630 fr. (art. 20 al. 1 TFIP [Tarif des frais de procédure et indemnités en matière pénale du 28 septembre 2010 ; BLV 312.03.1]), seront laissés à la charge de l’Etat (art. 428 al. 4 CPP). Le recourant, qui obtient gain de cause et a procédé avec l’assistance d’un avocat, a droit à l’octroi d’une indemnité pour les dépenses occasionnées par l’exercice raisonnable de ses droits pour la procédure de recours (art. 429 al. 1 let. a CPP, applicable par renvoi de l’art. 436 al. 1 CPP). Au vu du mémoire produit et de la nature de la cause, il sera retenu 3 heures d’activité nécessaire d’avocat au tarif horaire de 300 fr., – et non 400 fr. comme demandé – la cause ne présentant aucune difficulté particulière (art. 26a al. 3 TFIP ; TF 7B_35/2022 du 22 février 2024, JdT 2024 III 61), soit 900 fr., auxquelles il faut ajouter 2% pour les débours (art. 19 al. 2 TDC [tarif des dépens en matière civile du 23 novembre 2010 ; BLV 270.11.6] par renvoi de l'art. 26a al. 6 TFIP), à savoir 18 fr., et 8,1% de TVA sur le tout, c’est-à-dire 74 fr. 36, ce qui correspond à un total de 993 fr. en chiffres arrondis. 12J001</w:t>
      </w:r>
    </w:p>
    <w:p>
      <w:r>
        <w:t>- 8 - Par ces motifs, la Juge unique prononce : I. Le recours est admis. II. Le dossier de la cause est renvoyé au Ministère public de l’arrondissement de Lausanne pour qu’il procède dans le sens des considérants. III. Les frais d’arrêt, par 630 fr. (six cent trente francs), sont laissés à la charge de l’Etat. IV. Une indemnité de 993 fr. (neuf cent nonante-trois francs) est allouée à Me Stefan Disch pour la procédure de recours, à la charge de l’Etat. V. L’arrêt est exécutoire. La juge unique : La greffière : 12J001</w:t>
      </w:r>
    </w:p>
    <w:p>
      <w:r>
        <w:t>- 9 - Du Le présent arrêt est notifié par l'envoi d'une copie complète à : - Me Stefan Disch, avocat (pour B.________), - Ministère public central, et communiqué à : - M. le Procureur de l’arrondissement de Lausanne, - Mme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