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PE25.019144 vom 29. November 2025</w:t>
      </w:r>
    </w:p>
    <w:p>
      <w:r>
        <w:t>VD Tribunal cantonal, 2025-11-29, FR</w:t>
      </w:r>
    </w:p>
    <w:p>
      <w:r>
        <w:rPr>
          <w:b/>
        </w:rPr>
        <w:t xml:space="preserve">Quelle: </w:t>
      </w:r>
      <w:r>
        <w:t>https://mcp.opencaselaw.ch/entscheid/vd_gerichte_PE25.019144</w:t>
      </w:r>
    </w:p>
    <w:p>
      <w:r>
        <w:t>FR: VD_GERICHTE PE25.019144 du 29 novembre 2025</w:t>
      </w:r>
    </w:p>
    <w:p>
      <w:r>
        <w:t>IT: VD_GERICHTE PE25.019144 del 29 novembre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 cf. art. 20 al. 1 let. b CPP) qui est, dans le canton de Vaud, la Chambre des 12J010</w:t>
      </w:r>
    </w:p>
    <w:p>
      <w:r>
        <w:t>- 3 -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devant l’autorité compétente par la partie plaignante qui a qualité pour recourir (art. 382 al. 1 CPP), le recours est recevable.</w:t>
      </w:r>
    </w:p>
    <w:p>
      <w:r>
        <w:rPr>
          <w:b/>
        </w:rPr>
        <w:t>E. 2.1.1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12J010</w:t>
      </w:r>
    </w:p>
    <w:p>
      <w:r>
        <w:t>- 4 -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ATF 138 IV 86 consid. 4.1.2 et les références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2.1.2</w:t>
      </w:r>
    </w:p>
    <w:p>
      <w:r>
        <w:t>Aux termes de l'art. 144 al. 1 CP (Code pénal suisse du 21 décembre 1937 ; RS 311.0), se rend coupable de dommages à la propriété quiconque, sans droit, endommage, détruit ou met hors d'usage une chose appartenant à autrui ou frappée d'un droit d'usage ou d'usufruit au bénéfice d'autrui. L'objet de l'infraction est une chose, à savoir un objet corporel, mobilier ou immobilier (TF 7B_74/2023 du 30 septembre 2024 consid. 2.2.2 ; TF 6B_256/2018 du 13 août 2018 consid. 2.4.2 ; TF 6B_77/2017 du 16 janvier 2018 consid. 2.1). L'atteinte peut consister à détruire ou à altérer la chose, mais aussi à la modifier d'une manière propre à en supprimer ou en réduire l'usage, les propriétés, les fonctions ou l'agrément (TF 7B_102/2023 du 7 avril 2025 consid. 6.6.1 ; TF 7B_74/2023 du 30 septembre 2024 consid. 2.2.2 ; TF 6B_978/2014 du 23 juin 2015 consid. 12J010</w:t>
      </w:r>
    </w:p>
    <w:p>
      <w:r>
        <w:t>- 5 - 3.3.1 non publié in ATF 141 IV 305).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 TF 6B_120/2018 du 31 juillet 2018 consid. 4.1), par exemple en apposant sur le pare-brise d'une voiture une affiche qui ne peut être que difficilement ôtée, en dégonflant les pneus d'une voiture, en vidant un extincteur qui doit être rechargé pour être de nouveau prêt à fonctionner (ATF 128 IV 250 précité consid. 2) ou encore en salissant l'uniforme d'un fonctionnaire (TF 6B_872/2022 du 1er mars 2023 consid. 3.1 ; TF 6B_1054/2021 du 11 mars 2022 consid. 2.1.1 ; TF 6B_348/2012 du 24 octobre 2012 consid. 2.2).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 n. 16 ad art. 144 CP et les références citées ; Corboz, Les infractions en droit suisse, vol. I, 3e éd., Berne 2010, n. 23 ad art. 144 CP). Par dol éventuel, il faut comprendre que l’auteur prévoit qu’il va probablement porter préjudice à une chose et, par sa façon d’agir, accepte la survenance du dommage (Hurtado Pozo, Droit pénal, partie spéciale, Genève/Zurich/Bâle 2009, n. 1097 ad art. 144 CP).</w:t>
      </w:r>
    </w:p>
    <w:p>
      <w:r>
        <w:rPr>
          <w:b/>
        </w:rPr>
        <w:t>E. 2.2</w:t>
      </w:r>
    </w:p>
    <w:p>
      <w:r>
        <w:t>En l’espèce, il faut admettre que les copropriétaires ont manifestement procédé aux installations litigieuses dans leur propre intérêt et sans intention délictueuse, étant rappelé qu’ils n’ont pas agi sur des parties dont la plaignante était exclusivement propriétaire. Ils n’ont ainsi pas eu la conscience et la volonté, au moins sous la forme du dol éventuel, de s’en prendre à une chose appartenant à autrui ou à l’usage d’autrui, et d’en changer l’état. La recourante justifie sa plainte pénale par le fait que la propriété par étages n’aurait plus d’administrateur depuis le 31 décembre 2018 et que les copropriétaires visés par sa plainte refuseraient systématiquement d’en nommer malgré ses demandes. L’art. 712q al. 1 CC 12J010</w:t>
      </w:r>
    </w:p>
    <w:p>
      <w:r>
        <w:t>- 6 - (Code civil suisse du 10 décembre 1907 ; RS 210) lui permet toutefois de saisir le juge civil si l’assemblée des copropriétaires n’arrive pas à nommer l’administrateur. En outre, l’art. 712g CC précise comment procéder à des actes d’administration et à des travaux de construction dans le cadre d’une propriété par étages. Il faut dès lors constater que la recourante a les moyens d’agir sur le plan civil pour défendre ses droits. Partant, c’est à juste titre que le Ministère public n’est pas entré en matière sur la plainte pénale dirigée contre C.E.________ et D.E.________.</w:t>
      </w:r>
    </w:p>
    <w:p>
      <w:r>
        <w:rPr>
          <w:b/>
        </w:rPr>
        <w:t>E. 3</w:t>
      </w:r>
    </w:p>
    <w:p>
      <w:r>
        <w:t>Au vu de ce qui précède, le recours, manifestement mal fondé, doit être rejeté sans échange d’écritures (art. 390 al. 2 CPP) et l’ordonnance du 2 octobre 2025 confirmée. Vu l’issue de la cause,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Celle-ci ayant versé le montant de 770 fr. à titre de sûretés, un montant de 110 fr. lui sera restitué (art. 7 TFIP). Par ces motifs, la Chambre des recours pénale prononce : I. Le recours est rejeté. II. L’ordonnance du 2 octobre 2025 est confirmée. III. Les frais d’arrêt, par 660 fr. (six cent soixante francs), sont mis à la charge de B.________. IV. Les frais mis à la charge de B.________ au chiffre III ci-dessus sont compensés avec le montant de 770 fr. (sept cent septante francs) déjà versé par celle-ci à titre de sûretés et le solde, par 110 fr. (cent dix francs), lui est restitué. 12J010</w:t>
      </w:r>
    </w:p>
    <w:p>
      <w:r>
        <w:t>- 7 - V. L’arrêt est exécutoire. Le président : La greffière : Du Le présent arrêt, dont la rédaction a été approuvée à huis clos, est notifié, par l'envoi d'une copie complète, à : -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