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PE25.018987 vom 27. Oktober 2025</w:t>
      </w:r>
    </w:p>
    <w:p>
      <w:r>
        <w:t>VD Tribunal cantonal, 2025-10-27, FR</w:t>
      </w:r>
    </w:p>
    <w:p>
      <w:r>
        <w:rPr>
          <w:b/>
        </w:rPr>
        <w:t xml:space="preserve">Quelle: </w:t>
      </w:r>
      <w:r>
        <w:t>https://mcp.opencaselaw.ch/entscheid/vd_gerichte_PE25.018987</w:t>
      </w:r>
    </w:p>
    <w:p>
      <w:r>
        <w:t>FR: VD_GERICHTE PE25.018987 du 27 octobre 2025</w:t>
      </w:r>
    </w:p>
    <w:p>
      <w:r>
        <w:t>IT: VD_GERICHTE PE25.018987 del 27 ottobre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w:t>
      </w:r>
    </w:p>
    <w:p>
      <w:r>
        <w:t>- 3 - notamment par l’entremise de la police. Le prononcé est réputé notifié lorsqu’il a été remis au destinataire, à l’un de ses employés ou à toute personne de plus de seize ans vivant dans le même ménage (art. 85 al. 3 CPP).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précité consid. 4.3 et les références citées).</w:t>
      </w:r>
    </w:p>
    <w:p>
      <w:r>
        <w:rPr>
          <w:b/>
        </w:rPr>
        <w:t>E. 1.1.1</w:t>
      </w:r>
    </w:p>
    <w:p>
      <w:r>
        <w:t>; TF 6B_1265/2020 du 8 janvier 2021 consid. 1.1).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ATF 96 II 262 consid. 1a ; TF 1C_110/2008 du 19 mai 2008 ; Moreillon/Parein-Reymond, Code de procédure pénale, Petit commentaire, 3e éd., Bâle 2025,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w:t>
      </w:r>
    </w:p>
    <w:p>
      <w:r>
        <w:t>- 5 - La jurisprudence est très stricte pour admettre qu’une atteinte à la santé ou que des situations familiales difficiles puissent donner lieu à un empêchement de procéder au sens de l’art. 94 CPP. La négligence ou l’inattention ayant conduit un prévenu à opérer une confusion d’agenda ne constitue pas un empêchement non fautif d’agir ; il en va de même d’une surcharge de travail, l’intéressé portant seul dans un tel cas la responsabilité de ses manquements (CREP 20 septembre 2024/669 consid.</w:t>
      </w:r>
    </w:p>
    <w:p>
      <w:r>
        <w:rPr>
          <w:b/>
        </w:rPr>
        <w:t>E. 1.2</w:t>
      </w:r>
    </w:p>
    <w:p>
      <w:r>
        <w:t>En l’espèce, l’ordonnance de non-entrée en matière a été envoyée pour notification à B.________ par pli simple du 8 septembre 2025, de sorte que l’on ignore à quelle date l’ordonnance lui a été notifiée. Toutefois, le recourant a spontanément affirmé dans son recours que celui-ci, mis à la poste le 6 octobre 2025, était hors délai. Partant, la jurisprudence fédérale citée plus haut (cf. ATF 142 IV 125 consid. 4.5 qui renvoie à l’ATF 105 IV 43 consid. 2a) ne s’applique pas sur le principe, puisque le destinataire admet n’avoir pas agi dans le délai de 10 jours, de sorte que le recours est tardif.</w:t>
      </w:r>
    </w:p>
    <w:p>
      <w:r>
        <w:rPr>
          <w:b/>
        </w:rPr>
        <w:t>E. 2.1</w:t>
      </w:r>
    </w:p>
    <w:p>
      <w:r>
        <w:t>Le recourant requiert implicitement une restitution de délai. Il explique qu’il a tardé à recourir, dès lors qu’il traverse une « situation psychologique et financière difficile » et qu’il a dû demander de l’aide pour comprendre la procédure.</w:t>
      </w:r>
    </w:p>
    <w:p>
      <w:r>
        <w:t>- 4 -</w:t>
      </w:r>
    </w:p>
    <w:p>
      <w:r>
        <w:rPr>
          <w:b/>
        </w:rPr>
        <w:t>E. 2.2</w:t>
      </w:r>
    </w:p>
    <w:p>
      <w:r>
        <w:t>et les références citées).</w:t>
      </w:r>
    </w:p>
    <w:p>
      <w:r>
        <w:rPr>
          <w:b/>
        </w:rPr>
        <w:t>E. 2.3</w:t>
      </w:r>
    </w:p>
    <w:p>
      <w:r>
        <w:t>La demande de « retrait de forclusion » du recourant doit être rejetée, même si l’on admet qu’il s’agit d’une demande de restitution de délai, en raison des éléments suivants. A l’appui de son recours, B.________ a produit un arrêt de travail à 100 % pour la période du 18 septembre au 31 octobre 2025, de sorte que le seul empêchement allégué est une incapacité de travail pour cause de maladie. Cependant, le certificat médical produit ne fait pas état d’une pathologie qui aurait directement empêché le recourant d’agir en temps utile. De plus, une maladie ne constitue pas un empêchement non fautif lorsqu’elle n’empêche pas la partie de se faire représenter (Moreillon/Parein-Reymond, op. cit., n. 7 ad art. 94 CPP). A ce titre, il est relevé que, durant son incapacité de travail, le recourant a été en mesure de demander de l’aide, afin de comprendre la procédure et de recourir auprès de la Chambre de céans, hors délai toutefois. Le recourant ne rend donc aucunement vraisemblable que son empêchement d’observer le délai ne serait pas dû à une faute de sa part, se bornant à faire valoir qu’il était en arrêt de travail pour cause de maladie à cette période. Au vu de ce qui précède, le fait que le recourant n’ait pas agi dans le délai de recours ne résulte pas d’un empêchement non fautif. La requête de restitution du délai de recours doit dès lors être rejetée. Par conséquent, le recours est irrecevable pour cause de tardiveté.</w:t>
      </w:r>
    </w:p>
    <w:p>
      <w:r>
        <w:rPr>
          <w:b/>
        </w:rPr>
        <w:t>E. 3</w:t>
      </w:r>
    </w:p>
    <w:p>
      <w:r>
        <w:t>Au vu de ce qui précède, la demande de restitution de délai est rejetée et le recours doit être déclaré irrecevable, sans échange d’écritures (cf. art. 390 al. 2 CPP).</w:t>
      </w:r>
    </w:p>
    <w:p>
      <w:r>
        <w:t>- 6 -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La demande de restitution de délai est rejetée. II. Le recours est irrecevable. III. Les frais d’arrêt, par 660 fr. (six cent soixante francs), sont mis à la charge de B.________. IV. L’arrêt est exécutoire. Le président : La greffière : Du Le présent arrêt, dont la rédaction a été approuvée à huis clos, est notifié, par l’envoi d’une copie complète, à : - B.________, - Ministère public central, et communiqué à : - Mme la Procureure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