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PE25.017586 vom 24. September 2025</w:t>
      </w:r>
    </w:p>
    <w:p>
      <w:r>
        <w:t>VD Tribunal cantonal, 2025-09-24, FR</w:t>
      </w:r>
    </w:p>
    <w:p>
      <w:r>
        <w:rPr>
          <w:b/>
        </w:rPr>
        <w:t xml:space="preserve">Quelle: </w:t>
      </w:r>
      <w:r>
        <w:t>https://mcp.opencaselaw.ch/entscheid/vd_gerichte_PE25.017586</w:t>
      </w:r>
    </w:p>
    <w:p>
      <w:r>
        <w:t>FR: VD_GERICHTE PE25.017586 du 24 septembre 2025</w:t>
      </w:r>
    </w:p>
    <w:p>
      <w:r>
        <w:t>IT: VD_GERICHTE PE25.017586 del 24 settembre 2025</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l’établissement d’un profil d’ADN peut faire l’objet d’un recours au sens des art. 393 ss CPP (cf. notamment CREP 6 juin 2025/412 consid. 1 ; CREP 25 mars 2025/207 consid. 1). Le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w:t>
      </w:r>
    </w:p>
    <w:p>
      <w:r>
        <w:rPr>
          <w:b/>
        </w:rPr>
        <w:t>E. 2</w:t>
      </w:r>
    </w:p>
    <w:p>
      <w:r>
        <w:t>juillet 2024 consid. 2.1.3 ; TF 1B_230/2022 du 7 septembre 2022 consid.</w:t>
      </w:r>
    </w:p>
    <w:p>
      <w:r>
        <w:t>- 6 -</w:t>
      </w:r>
    </w:p>
    <w:p>
      <w:r>
        <w:rPr>
          <w:b/>
        </w:rPr>
        <w:t>E. 2.1</w:t>
      </w:r>
    </w:p>
    <w:p>
      <w:r>
        <w:t>Le recourant invoque une violation des art. 197, 255 et 257 CPP, ainsi que celle du principe de la proportionnalité. En effet, selon lui, il</w:t>
      </w:r>
    </w:p>
    <w:p>
      <w:r>
        <w:t>- 4 - n’y aurait pas d’intérêt à procéder à l’établissement de son profil d’ADN, dès lors qu’il a admis les faits donnant lieu à l’enquête. Au surplus, le Parquet n’a, toujours selon lui, pas motivé de quelconques indices d’infractions passées pour lesquelles il serait soupçonné. Enfin, le Ministère public ne serait pas compétent pour procéder à des mesures d’instruction portant sur des infractions futures.</w:t>
      </w:r>
    </w:p>
    <w:p>
      <w:r>
        <w:rPr>
          <w:b/>
        </w:rPr>
        <w:t>E. 2.1.3</w:t>
      </w:r>
    </w:p>
    <w:p>
      <w:r>
        <w:t>; TF 1B_259/2022 du 23 juin 2023 consid. 4.3).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 ; TF 7B_152/2023 du 2 juillet 2024 consid. 2.1.3 ; TF 1B_259/2022 du 23 juin 2023 consid. 4.3).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145 IV 263 consid. 3.4 ; TF 7B_938/2024 du 31 mars 2025 consid. 2.1.3 ; TF 7B_152/2023 du</w:t>
      </w:r>
    </w:p>
    <w:p>
      <w:r>
        <w:rPr>
          <w:b/>
        </w:rPr>
        <w:t>E. 2.2</w:t>
      </w:r>
    </w:p>
    <w:p>
      <w:r>
        <w:t>; TF 1B_409/2021 du 3 janvier 2022 consid. 4.3 et les réf., y compris critiques citées).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 ; TF 7B_938/2024 du 31 mars 2025 consid. 2.1.2 ; TF 7B_152/2023 du 2 juillet 2024 consid. 2.1.3 ; TF 1B_259/2022 du 23 juin 2023 consid. 4.3). L’art. 257 CPP, dans sa teneur au 1er janvier 2024 (RO 2023 p. 468), permet quant à lui,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w:t>
      </w:r>
    </w:p>
    <w:p>
      <w:r>
        <w:t>- 7 - l’instruction, mais pas lorsque débute l’instruction (Message précité, FF 2019 p. 6405).</w:t>
      </w:r>
    </w:p>
    <w:p>
      <w:r>
        <w:rPr>
          <w:b/>
        </w:rPr>
        <w:t>E. 2.3</w:t>
      </w:r>
    </w:p>
    <w:p>
      <w:r>
        <w:t>En l’espèce, si le Ministère public a fondé sa décision uniquement sur un risque de récidive du prévenu, partant sur un impératif d’élucider des éventuelles infractions futures, il a, dans ses déterminations du 3 septembre 2025, exposé que la perquisition du téléphone cellulaire du complice présumé du recourant, soit [...], avait révélé des photographies montrant le recourant tenant en mains des machines de chantier Ingenia. On peine, du moins en l’état, à discerner par quels moyens légaux il serait entré en possession des machines de chantier représentées par ces photographies, ce qui permet de craindre l’’existence d’autres infractions. A cet égard, le Ministère public a, dans son mémoire complémentaire du 17 septembre 2025, relevé que, d’après les informations transmises par les enquêteurs, le prévenu avait « été identifié, par hit ADN, pour deux cas de cambriolages commis à Genève en novembre 2024 », de sorte qu’il serait, pour ce motif aussi, manifeste qu’il avait commis d’autres infractions. Dans ses déterminations spontanées du 4 septembre 2025, le recourant a cependant fait valoir que les photographies en question ne sauraient constituer des éléments d’appréciation faute d’avoir été versées au dossier. Dans ses déterminations du 19 septembre 2025, il soutient, en se réclamant de la jurisprudence fédérale (TF 7B_152/2023 du 2 juillet 2024 consid. 2.2.4), qu’il ne saurait être tenu compte d’éléments qui ont été connus ultérieurement grâce à une mesure de contrainte pour déterminer le caractère fondé de cette même mesure. La question peut rester ouverte car ce sont d’autres motifs qui sont déterminants pour l’issue du litige. En effet, le recourant ne conteste pas être dépourvu de toute activité lucrative en Suisse, où il vit pourtant depuis quelque deux mois de son propre aveu. Plus encore, il ne dispose d’aucun logement dans notre pays et a même précisé qu’il dormait dans la voiture d’un ami (PV aud. 2, R. 5). Quoi qu’il en soit, le mode opératoire des infractions ici poursuivies,</w:t>
      </w:r>
    </w:p>
    <w:p>
      <w:r>
        <w:t>- 8 - avouées par le recourant, est celui de criminels aguerris. La quantité de câble volée, soit quelque 800 kg, est particulièrement importante. Tout porte donc à croire que les auteurs n’en étaient pas à leur coup d’essai. Force est ainsi d’admettre qu'il existe des indices sérieux et concrets que le prévenu a été impliqué dans d'autres infractions, qui plus est d'une certaine gravité, s’agissant en particulier de vols de matériel de chantier. L’établissement de son profil d’ADN est donc de nature à contribuer à élucider ce passé. Pour les motifs qui précèdent, la mesure ordonnant l’établissement du profil d’ADN du recourant est conforme au principe de la proportionnalité. Partant, elle doit être confirmée par substitution de motifs.</w:t>
      </w:r>
    </w:p>
    <w:p>
      <w:r>
        <w:rPr>
          <w:b/>
        </w:rPr>
        <w:t>E. 3</w:t>
      </w:r>
    </w:p>
    <w:p>
      <w:r>
        <w:t>En définitive, le recours doit être rejeté et l’ordonnance entreprise confirmée. Au vu du travail accompli par le défenseur d’office du recourant, il sera retenu six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l’indemnité nette s’élève à 1'080 francs. S'y ajoutent 2 % pour les débours (art. 3bis al. 1 RAJ, par renvoi de l'art. 26b TFIP), soit 21 fr. 60, et 8,1 % de TVA sur le tout, soit 89 fr. 25, de sorte que l'indemnité d'office est arrêtée au total à 1'191 fr. en chiffres arrondis. Les frais de la procédure de recours, par 880 fr. (art. 20 al. 1 TFIP), ainsi que les frais imputables à la défense d’office, par 1'191 fr., seront mis à la charge du recourant, qui succombe (art. 428 al. 1 CPP). Le remboursement à l’Etat de l’indemnité du défenseur d’office ne sera exigible du recourant que pour autant que sa situation financière le permette (art. 135 al. 4 CPP).</w:t>
      </w:r>
    </w:p>
    <w:p>
      <w:r>
        <w:t>- 9 - Par ces motifs, la Chambre des recours pénale prononce : I. Le recours est rejeté. II. L'ordonnance du 20 août 2025 est confirmée. III. L’indemnité allouée à Me Jérôme Campart, défenseur d’office de C.________, est fixée à 1'191 fr. (mille cent nonante et un francs). IV. Les frais d’arrêt, par 880 fr. (huit cent huitante francs), ainsi que l'indemnité allouée au défenseur d'office de C.________, par 1'191 fr. (mille cent nonante et un francs), sont mis à la charge de C.________. V. Le remboursement à l’Etat de l’indemnité allouée au chiffre III ci-dessus sera exigible de C.________ dès que sa situation financière le permettra. VI. L’arrêt est exécutoire. Le président : Le greffier : Du Le présent arrêt, dont la rédaction a été approuvée à huis clos, est notifié, par l'envoi d'une copie complète, à : - Me Jérôme Campart, avocat (pour C.________), - Ministère public central, et communiqué à : - M. le Procureur cantonal Strada,</w:t>
      </w:r>
    </w:p>
    <w:p>
      <w:r>
        <w:t>- 10 -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