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PE25.017580 vom 11. Mai 2026</w:t>
      </w:r>
    </w:p>
    <w:p>
      <w:r>
        <w:t>VD Tribunal cantonal, 2026-05-11, FR</w:t>
      </w:r>
    </w:p>
    <w:p>
      <w:r>
        <w:rPr>
          <w:b/>
        </w:rPr>
        <w:t xml:space="preserve">Quelle: </w:t>
      </w:r>
      <w:r>
        <w:t>https://mcp.opencaselaw.ch/entscheid/vd_gerichte_PE25.017580</w:t>
      </w:r>
    </w:p>
    <w:p>
      <w:r>
        <w:t>FR: VD_GERICHTE PE25.017580 du 11 mai 2026</w:t>
      </w:r>
    </w:p>
    <w:p>
      <w:r>
        <w:t>IT: VD_GERICHTE PE25.017580 del 11 maggio 2026</w:t>
      </w:r>
    </w:p>
    <w:p>
      <w:pPr>
        <w:pStyle w:val="Heading2"/>
      </w:pPr>
      <w:r>
        <w:t>Erwägungen</w:t>
      </w:r>
    </w:p>
    <w:p>
      <w:r>
        <w:rPr>
          <w:b/>
        </w:rPr>
        <w:t>E. 1</w:t>
      </w:r>
    </w:p>
    <w:p>
      <w:r>
        <w:t>CPP), le recours est recevable.</w:t>
      </w:r>
    </w:p>
    <w:p>
      <w:r>
        <w:rPr>
          <w:b/>
        </w:rPr>
        <w:t>E. 1.1</w:t>
      </w:r>
    </w:p>
    <w:p>
      <w:r>
        <w:t>Aux termes de l’art. 393 al. 1 let. c CPP (Code de procédure pénale suisse du 5 octobre 2007 ; RS 312.0), le recours est recevable contre les décisions du Tribunal des mesures de contrainte pour autant que le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12J010</w:t>
      </w:r>
    </w:p>
    <w:p>
      <w:r>
        <w:t>- 6 -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w:t>
      </w:r>
    </w:p>
    <w:p>
      <w:r>
        <w:rPr>
          <w:b/>
        </w:rPr>
        <w:t>E. 3.1</w:t>
      </w:r>
    </w:p>
    <w:p>
      <w:r>
        <w:t>; ATF 143 IV 168 consid. 5.1 ; ATF 139 IV 270 précité consid. 3.1 ; TF 7B_808/2025 du 11 septembre 2025 consid. 3.2).</w:t>
      </w:r>
    </w:p>
    <w:p>
      <w:r>
        <w:rPr>
          <w:b/>
        </w:rPr>
        <w:t>E. 3.2</w:t>
      </w:r>
    </w:p>
    <w:p>
      <w:r>
        <w:t>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(Moreillon/Parein-Reymond, Petit Commentaire, Code de procédure pénale, 3e éd., Bâle 2025,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7B_62/2025 du 26 février 2025 consid. 4.3.1). Le risque de fuite s'étend également au risque de se soustraire à la procédure pénale ou à la sanction prévisible en tombant dans la clandestinité à l'intérieur du pays (ATF 143 IV 160 consid. 4.3 ; TF 7B_151/2026 précité consid. 2.2.2 ; TF 7B_61/2026 du</w:t>
      </w:r>
    </w:p>
    <w:p>
      <w:r>
        <w:rPr>
          <w:b/>
        </w:rPr>
        <w:t>E. 3.3</w:t>
      </w:r>
    </w:p>
    <w:p>
      <w:r>
        <w:t>En l’occurrence, si le recourant est certes de nationalité suisse, il ressort de dossier qu’il se trouvait, avant son incarcération, dans une situation de très grande précarité, dépourvu de ressources financières, dans la mesure où il n’avait plus droit à l’aide sociale, faute de domicile (PV aud. du 26 octobre 2025, R. 3). Lorsqu’il a été interrogé par la police le 4 août 2025, il expliquait qu’il possédait une tente, qu’il dormait principalement dehors et que, quand il le pouvait, il essayait d’aller chez des amis pour prendre une douche et manger. Force est ainsi de constater, comme le relevait déjà le Tribunal des mesures de contrainte dans son ordonnance du 28 octobre 2025, que le recourant est susceptible de disparaître à tout moment des canaux de communication usuels. Lorsqu’il a été interpellé, le 25 octobre 2025, il faisait d’ailleurs l’objet de deux mandats d’arrêts RIPOL 12J010</w:t>
      </w:r>
    </w:p>
    <w:p>
      <w:r>
        <w:t>- 8 - (P. 50), ce qui oblige à retenir qu’il ne se met pas en situation de pouvoir répondre aux convocations des autorités de poursuite pénale. Indépendamment de la peine qui est susceptible d’être prononcée pour les faits qui font l’objet de la présente procédure – on rappellera que le vol par métier est punissable d’une peine privative de liberté de six mois à dix ans (art. 139 ch. 3 let. a CP) –, il faut constater aussi que le recourant est renvoyé devant le Tribunal correctionnel de l’arrondissement de la Broye et du Nord vaudois et que se posera en outre la révocation du sursis portant sur une peine privative de liberté de 30 mois accordé le 11 janvier 2022 par le Tribunal pénal de la Sarine. Tout porte à craindre que, confronté à la perspective d’avoir à exécuter une peine privative de liberté très substantielle, le recourant ne soit fortement tenté de s’y soustraire, en fuyant à l’étranger – il prétend bénéficier d’une offre d’embauche ferme en QT***, à QV*** – ou en tombant dans la clandestinité en Suisse. Le fait que son oncle se soit dit prêt à l’accueillir chez lui ne change rien à ce constat, sauf à dire qu’il met en lumière l’inconsistance des projets esquissés par le recourant pour le cas où il serait libéré, dès lors qu’on ne conçoit guère qu’il puisse loger à Q***, tout en travaillant en QT***. Quant à une prétendue promesse orale d’engagement dans le canton de Vaud, on ne saurait en aucun cas en tenir compte. Il suit de là que, contrairement à ce qu’il fait plaider, la Cour ne voit pas que sa situation soit fondamentalement différente de celle qui était la sienne lorsqu’il a été interpellé. C’est enfin le lieu de souligner le peu de crédit qu’il est possible d’accorder aux assurances données par un prévenu qui n’a eu de cesse de démontrer, par ses actes, qu’il n’était pas digne de la confiance que les autorités de poursuite pénale lui ont témoignée à plusieurs reprises. C’est donc à bon droit que le premier juge a considéré qu’il était à craindre que le recourant se soustraie à la procédure pénale ou à la sanction prévisible en prenant la fuite. Le maintien en détention provisoire du recourant est donc justifié en raison d’un risque de fuite et le grief doit être rejeté.</w:t>
      </w:r>
    </w:p>
    <w:p>
      <w:r>
        <w:rPr>
          <w:b/>
        </w:rPr>
        <w:t>E. 4</w:t>
      </w:r>
    </w:p>
    <w:p>
      <w:r>
        <w:t>Les conditions de l’art. 221 CPP étant alternatives (TF 1B_134/2023 du 5 avril 2023 consid. 4.4 ; TF 1B_192/2022 du 12 mai 2022 12J010</w:t>
      </w:r>
    </w:p>
    <w:p>
      <w:r>
        <w:t>- 9 - consid. 4.1.2), l’existence d’un risque de fuite dispense la Chambre de céans d’examiner si la détention provisoire s’impose aussi en raison du risque de récidive également retenu par le Tribunal des mesures de contrainte.</w:t>
      </w:r>
    </w:p>
    <w:p>
      <w:r>
        <w:rPr>
          <w:b/>
        </w:rPr>
        <w:t>E. 5.1</w:t>
      </w:r>
    </w:p>
    <w:p>
      <w:r>
        <w:t>Subsidiairement, le recourant soutient que les garanties qu’il offre rendraient les mesures de substitution suivantes, à savoir l’assignation à résidence et la surveillance électronique, particulièrement efficaces et adaptées.</w:t>
      </w:r>
    </w:p>
    <w:p>
      <w:r>
        <w:rPr>
          <w:b/>
        </w:rPr>
        <w:t>E. 5.2</w:t>
      </w:r>
    </w:p>
    <w:p>
      <w:r>
        <w:t>Conformément au principe de la proportionnalité (art. 36 al. 3 Cst.), il convient aussi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celle-ci (TF 7B_207/2026 du 17 mars 2026 consid. 5.2.2 ; TF 7B_151/2026 du 25 février 2026 consid. 3.2).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Cette liste est exemplative et le juge de la détention peut également, le cas échéant, assortir les mesures de substitution de toute condition propre à en garantir l'efficacité (ATF 145 IV 503 consid. 3.1; TF 7B_207/2026 précité consid. 5.2.2).</w:t>
      </w:r>
    </w:p>
    <w:p>
      <w:r>
        <w:rPr>
          <w:b/>
        </w:rPr>
        <w:t>E. 5.3</w:t>
      </w:r>
    </w:p>
    <w:p>
      <w:r>
        <w:t>En l’espèce, l’absence de fiabilité du recourant, de même que sa situation personnelle, excluent toute alternative crédible à sa détention provisoire. De jurisprudence constante, une assignation à résidence et une surveillance électronique, mesures de substitution évoquées par le recourant, même cumulées, ne permettent pas d'atteindre les mêmes buts 12J010</w:t>
      </w:r>
    </w:p>
    <w:p>
      <w:r>
        <w:t>- 10 - que la détention. L’assignation à résidence ou l'interdiction de quitter le territoire suisse ne sont pas suffisantes pour pallier un risque de fuite. Il s’agit de mesures qui reposent au demeurant uniquement sur la volonté du recourant de s'y soumettre et qui n'offrent aucune garantie qu'il s'y conformerait (TF 7B_207/2026 précité consid. 5.3.2). On ajoutera que même une surveillance active avec possibilité d'intervention immédiate de la police ne permet pas d'exclure que le porteur d'un tel dispositif puisse fuir avant que les forces de l'ordre parviennent à l'arrêter. En outre, en cas de retrait forcé du bracelet ou de sa mise hors d'usage, l'intéressé ne ferait plus l'objet d'une surveillance, sous réserve de l'alarme qui serait donnée par la mise hors service, et disposerait dès lors du temps nécessaire pour passer dans la clandestinité, voire pour quitter la Suisse (ATF 145 IV 503 consid. 3.3.2 ; TF 7B_151/2026 du 25 février 2026 consid. 3.3 et les arrêts cités). Ainsi, même si le recourant ne paraît pas avoir de liens avec les pays limitrophes de l’Espace Schengen, il pourrait aisément s’y rendre depuis la Suisse et y séjourner, étant encore une fois souligné qu’il prétend bénéficier d’une offre d’embauche ferme en QT***, ou disparaître dans la clandestinité.</w:t>
      </w:r>
    </w:p>
    <w:p>
      <w:r>
        <w:rPr>
          <w:b/>
        </w:rPr>
        <w:t>E. 6.1</w:t>
      </w:r>
    </w:p>
    <w:p>
      <w:r>
        <w:t>Le recourant se plaint enfin de la violation du principe de la proportionnalité, qui se matérialiserait dans le fait que la durée de la détention provisoire risquerait de dépasser la peine privative de liberté qui pourrait concrètement être prononcée « pour des infractions patrimoniales ».</w:t>
      </w:r>
    </w:p>
    <w:p>
      <w:r>
        <w:rPr>
          <w:b/>
        </w:rPr>
        <w:t>E. 6.2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Le juge peut dès lors maintenir la détention provisoire aussi longtemps qu'elle n'est pas très proche de la durée de la peine privative de liberté à laquelle il faut s'attendre concrètement en cas de condamnation (ATF 145 IV 179 consid. 12J010</w:t>
      </w:r>
    </w:p>
    <w:p>
      <w:r>
        <w:t>- 11 -</w:t>
      </w:r>
    </w:p>
    <w:p>
      <w:r>
        <w:rPr>
          <w:b/>
        </w:rPr>
        <w:t>E. 6.3</w:t>
      </w:r>
    </w:p>
    <w:p>
      <w:r>
        <w:t>En l’espèce, le recourant est détenu depuis le 25 octobre 2025, soit depuis environ 6 mois et demi. La durée de sa détention a été prolongée jusqu’au 22 juillet 2026. Compte tenu des faits qui lui sont reprochés et de leur caractère répétitif – étant rappelé que le recourant est mis en cause dans une soixantaine de cas de vol –, de ses antécédents, du concours d’infractions, ainsi que du fait que le vol par métier est une infraction passible d’une peine privative de liberté de six mois à dix ans (art. 139 al. 3 let. a CP), le recourant s'expose à une peine privative de liberté d’une durée manifestement supérieure à celle de la détention subie à ce jour, et à subir jusqu’au 22 juillet 2026. Le principe de la proportionnalité est donc respecté, d’autant plus que l’enquête arrive à son terme, le dossier ayant été mis en prochaine clôture.</w:t>
      </w:r>
    </w:p>
    <w:p>
      <w:r>
        <w:rPr>
          <w:b/>
        </w:rPr>
        <w:t>E. 7</w:t>
      </w:r>
    </w:p>
    <w:p>
      <w:r>
        <w:t>Au vu de ce qui précède, le recours, manifestement mal fondé, doit être rejeté sans échange d’écritures (art. 390 al. 2 CPP) et l’ordonnance attaquée confirmée. Le recourant a sollicité l’assistance judiciaire et la désignation de Me Julien Guignard comme défenseur d’office pour la procédure de recours. Cette requête est superflue. En effet, le droit à une défense d’office vaut pour toutes les étapes de la procédure et la défense d’office ne prend fin qu’à l’épuisement des voies de droit régies par le CPP, l’assistance judiciaire pour la procédure devant le Tribunal fédéral faisant en revanche l’objet d’une nouvelle décision de ce dernier (art. 64 LTF [Loi du 17 juin 2005 sur le Tribunal fédéral ; RS 173.110]). Il n’y a ainsi pas matière à nouvelle désignation par l’autorité de recours d’un défenseur d’office déjà désigné par l’autorité inférieure. Me Julien Guignard a produit une liste des opérations faisant état de 8.94 heures d’activité. Cette durée est excessive, étant relevé que l’avocat a, notamment, consacré trois pages de son mémoire pour l’octroi de l’assistance judiciaire, qui, comme on l’a vu, est superflue. Tout bien 12J010</w:t>
      </w:r>
    </w:p>
    <w:p>
      <w:r>
        <w:t>- 12 - considéré, compte tenu de la nature de l’affaire et de l’acte de recours déposé, l’indemnité allouée au défenseur d’office du recourant sera fixée à 540 fr., correspondant à une activité nécessaire d’avocat de 3 heures au tarif horaire de 180 fr., montant auquel il convient d’ajouter des débours forfaitaires à concurrence de 2% (et non 5%)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par 44 fr. 60. L’indemnité s’élève ainsi à 596 fr. au total en chiffres arrondis. Les frais de la procédure de recours, constitués en l’espèce de l’émolument d’arrêt, par 1’210 fr. (art. 20 al. 1 TFIP), et des frais imputables à la défense d’office (art. 422 al. 1 et 2 let. a CPP), par 596 fr., seront mis à la charge du recourant, qui succombe (art. 428 al. 1 CPP). Le remboursement à l’Etat de l’indemnité allouée au défenseur d’office du recourant sera exigible dès que sa situation financière le permettra (art. 135 al. 4 CPP). Par ces motifs, la Chambre des recours pénale prononce : I. Le recours est rejeté. II. L’ordonnance du 20 avril 2026 est confirmée. III. L’indemnité allouée à Me Julien Guignard, défenseur d’office de B.________, est fixée à 596 fr. (cinq cent nonante-six francs). IV. Les frais d’arrêt, par 1’210 fr. (mille deux cent dix francs), ainsi que l’indemnité allouée à Me Julien Guignard, par 596 12J010</w:t>
      </w:r>
    </w:p>
    <w:p>
      <w:r>
        <w:t>- 13 - fr. (cinq cent nonante-six francs), sont mis à la charge de B.________. V. Le remboursement à l’Etat de l’indemnité allouée au chiffre III ci-dessus sera exigible de B.________ dès que sa situation financière le permettra. VI. L’arrêt est exécutoire. La présidente : La greffière : Du Le présent arrêt, dont la rédaction a été approuvée à huis clos, est notifié, par l'envoi d'une copie complète, à : - Julien Guignard, avocat (pour B.________), - Ministère public central, et communiqué à : - Mme la Présidente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