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PE25.017567 vom 9. Dezember 2025</w:t>
      </w:r>
    </w:p>
    <w:p>
      <w:r>
        <w:t>VD Tribunal cantonal, 2025-12-09, FR</w:t>
      </w:r>
    </w:p>
    <w:p>
      <w:r>
        <w:rPr>
          <w:b/>
        </w:rPr>
        <w:t xml:space="preserve">Quelle: </w:t>
      </w:r>
      <w:r>
        <w:t>https://mcp.opencaselaw.ch/entscheid/vd_gerichte_PE25.017567</w:t>
      </w:r>
    </w:p>
    <w:p>
      <w:r>
        <w:t>FR: VD_GERICHTE PE25.017567 du 9 décembre 2025</w:t>
      </w:r>
    </w:p>
    <w:p>
      <w:r>
        <w:t>IT: VD_GERICHTE PE25.017567 del 9 dicembre 2025</w:t>
      </w:r>
    </w:p>
    <w:p>
      <w:pPr>
        <w:pStyle w:val="Heading2"/>
      </w:pPr>
      <w:r>
        <w:t>Erwägungen</w:t>
      </w:r>
    </w:p>
    <w:p>
      <w:r>
        <w:rPr>
          <w:b/>
        </w:rPr>
        <w:t>E. 11</w:t>
      </w:r>
    </w:p>
    <w:p>
      <w:r>
        <w:t>août 2021 consid. 2). 1.3.2 Il découle des principes généraux régissant les exigences de motivation selon l’art. 385 al. 1 CPP que le recourant doit tenter de démontrer que sa thèse l’emporte sur celle de la décision attaquée, ses moyens devant prendre appui sur la motivation de l’autorité intimée. Ainsi, le plaideur ne peut se borner à alléguer des faits mais doit mettre en exergue les failles qu’il croit déceler dans le raisonnement de l’autorité inférieure (cf. p. ex. TF 6B_1447/2022 précité ; CREP 2 octobre 2023/808). 1.3.3 En l’espèce, le recourant soutient avoir la qualité de lésé au sens pénal. Il fait valoir que la prétention de la Caisse de compensation AVS était dirigée directement contre lui. Il en déduit que l’admission de cette créance en réparation du dommage découlant du non-paiement de cotisations sociales par C.________ Sàrl a impliqué son appauvrissement personnel à hauteur de l’enrichissement de D.________. Il ajoute que ce dernier a signé une reconnaissance de dette en sa faveur et qu’il s’est approprié la BMW ainsi que l’indemnité d’assurance afférente à ce véhicule. Il précise que son appauvrissement est en lien de causalité naturelle et adéquate avec les actes dénoncés qu’il tient pour commis par D.________. Le recourant indique au surplus être créancier au sens de l’art. 163 CP (Code pénal ; RS 311.0). Ainsi, l’acte de recours énonce des moyens validement articulés dirigés contre le motif de l’ordonnance selon lequel le recourant ne peut faire valoir une atteinte directe à son patrimoine en relation avec le dommage dont réparation a été demandé par la Caisse de compensation AVS et qu’il n’est dès lors pas directement lésé par les agissements dénoncés à ce titre. 12J010</w:t>
      </w:r>
    </w:p>
    <w:p>
      <w:r>
        <w:t>- 6 - En revanche, le recours comporte divers moyens et conclusions portant sur l’appropriation illicite de la BMW également dénoncée dans la plainte. La décision de refus de qualité de partie plaignante ne saurait s’étendre à cet objet, faute pour la Procureure d’avoir statué sur cette question, la magistrate étant dans l’attente d’informations complémentaires à fournir par le plaignant selon sa réquisition du 28 octobre 2025. Le recours est dès lors irrecevable en tant qu’il porte sur ces points. Enfin, le recours comporte aussi divers moyens et conclusions, peu intelligibles, portant en particulier sur la notion d’enrichissement illégitime au sens civil et sur la « perte d’usage » qu’aurait encourue le plaideur sur son capital. Ces moyens et conclusions ne trouvent aucun appui dans les considérants de l’ordonnance attaquée. Dans cette mesure, l’acte ne satisfait ainsi pas aux exigences de motivation de l'art. 385 al. 1 CPP. Il n’y a au surplus pas lieu d’impartir à son auteur un délai pour qu’il le complète au sens de l’art. 385 al. 2 CPP. 2. 2.1 Selon l'art. 118 al. 1 CPP, on entend par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(ATF 147 IV 269 consid. 3.1 ; ATF 145 IV 491 consid. 2.3, JdT 2020 IV 65). L’art. 115 al. 2 CPP ajoute que les personnes qui ont qualité pour déposer plainte pénale sont toujours considérées comme des lésées. Cette disposition étend donc la qualité de lésé à d’autres personnes habilitées, soit les représentants légaux, les héritiers du lésé, ainsi que des autorités et organisations habilitées à porter plainte (TF 1B_319/2022 du 17 novembre 2022 consid. 2.1 ; TF 1B_537/2021 du 13 janvier 2022 consid. 2.1 ; TF 1B_507/2020 du 8 février 2021 consid. 3.1). En règle générale, seul peut se prévaloir d’une atteinte directe le titulaire du bien juridique protégé par la disposition pénale qui a été enfreinte (ATF 141 IV 454 consid. 2.3.1 ; ATF 141 IV 1 consid. 3.1 ; ATF 138 IV 258 consid. 2.3, JdT 2013 IV 214). Les droits touchés sont les biens juridiques individuels tels que la vie et l’intégrité corporelle, la propriété, 12J010</w:t>
      </w:r>
    </w:p>
    <w:p>
      <w:r>
        <w:t>- 7 - l’honneur, etc. (ATF 141 IV 1 consid. 3.1).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141 IV 454 consid. 2.3.1 ; ATF 138 IV 258 consid. 2.3 ; ATF 129 IV 95 consid. 3.1). Pour être directement touché, le lésé doit en outre subir une atteinte en rapport de causalité directe avec l’infraction poursuivie, ce qui exclut les dommages par ricochet (ATF 147 IV 269 consid 3.1 ; TF 1B_537/2021 du 13 janvier 2022 consid. 2.1; TF 6B_608/2020 du 4 décembre 2020 consid. 3.1).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148 IV 170 consid. 3.3.1 et les arrêts cités, TF 1B_418/2022 du 17 janvier 2023 consid 3.1). Il n'en va pas différemment si le comportement pénalement répréhensible, en tant qu'infraction contre le patrimoine, réalise aussi - lors d'un examen ex post - les conditions d'une infraction dans la faillite ; si la société lésée tombe en faillite ou est liquidée conformément aux dispositions sur la faillite, c'est la masse en faillite qui lui succède (cf. art. 121 al. 2 CPP en lien avec l'art. 197 de la loi fédérale du 11 avril 1889 sur la poursuite pour dettes et la faillite [LP ; RS 281.1] ; ATF 148 IV 170 consid. 3.3.2). En ce qui concerne la qualité de lésé en lien avec une éventuelle infraction dans la faillite, elle doit être examinée séparément de celle relative à une infraction contre le patrimoine : en cas d'infractions dans la faillite, ce n'est plus le patrimoine de la société qui est directement lésé, mais celui des créanciers du failli (ATF 148 IV 170 consid. 3.3.2, TF 1B_418/2022 précité consid 3.1). Le bien juridiquement protégé par les art. 163 ss CP est le patrimoine des créanciers du failli, lesquels sont donc des personnes lésées au sens de l'art. 115 CPP ; tel n'est en revanche pas le cas des actionnaires, à moins qu'ils détiennent simultanément une créance 12J010</w:t>
      </w:r>
    </w:p>
    <w:p>
      <w:r>
        <w:t>- 8 - contre la société faillie (ATF 148 IV 170 consid. 3.4.1, TF 1B_418/2022 précité consid 3.1). Les art. 163 à 167 CP ont une portée plus étroite que les autres infractions contre le patrimoine ; ils concernent en premier lieu le droit des créanciers de pouvoir, dans la procédure d'exécution forcée, saisir les biens du débiteur en vue de leur désintéressement. Ces dispositions visent ainsi à la protection du droit à l'exécution forcée, auquel elles sont directement rattachées et en fonction duquel elles doivent être comprises. Elles tendent également à protéger les créanciers du débiteur menacé par une faillite ou tombé en faillite. Ces règles apparaissent ainsi comme un complément, sous l'angle pénal, de la LP (ATF 148 IV 170 consid. 3.4.6, TF 1B_418/2022 précité consid 3.1). 2.2 Réprimant la gestion déloyale, l'art. 158 CP punit quiconque,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(TF 6B_52/2022 du 16 mars 2023 consid. 4.1.6 ; TF 6B_279/2021 du 20 octobre 2021 consid. 1.2). 12J010</w:t>
      </w:r>
    </w:p>
    <w:p>
      <w:r>
        <w:t>- 9 - Il faut également qu’il y a eu un préjudice (ATF 142 IV 346 consid. 3.2 ; 129 IV 124 consid. 3.1). Seul le préjudice causé aux intérêts pécuniaires sur lesquels le gérant a un devoir de gestion ou de surveillance peut être pris en considération (ATF 97 IV 16 consid. 4, JdT 1971 IV 103). L'éventuel préjudice subi par un tiers auquel le gérant ne serait pas lié par le rapport de gestion ne peut être considéré sous l'angle de l'art. 158 CP (ibidem). Le dommage, qui n'a pas besoin d'être chiffré, existe lorsque le lésé a un droit protégé par le droit civil, notamment au sens de l'article 41 CO, à la compensation du dommage subi (TF 6B_280/2022 et TF 6B_287/2022 du 14 avril 2023 consid. 4.1.2). 3. En l’espèce, D.________, à qui le recourant reproche de n’avoir pas déclaré les cotisations AVS des employés de la société, avait un devoir de gestion à l’égard de la société et non à l’égard du patrimoine du recourant. Partant, même à considérer que le recourant n’ait été qu’un gérant fiduciaire pour le compte de ce dernier, son dommage n’est ici effectivement qu’un dommage réfléchi, qui ne peut être pris en considération sous l’angle de l’art. 158 CP (cf. la jurisprudence résumée ci- dessus). 4. 4.1 L'art. 163 CP, qui réprime la banqueroute frauduleuse et la fraude dans la saisie, et l'art. 164 CP, qui punit la diminution effective de l'actif au préjudice des créanciers, figurent parmi les infractions contre le patrimoine (art. 137 à 172ter CP). Il en va de même de l’infraction de gestion fautive de l’art. 165 CP. Ces dispositions tendent toutes à protéger, d'une part, les créanciers et, d'autre part, la poursuite pour dette elle-même, en tant que moyen d'assurer le respect des droits desdits créanciers (Corboz, Les infractions en droit suisse, vol. I, 3e éd., 2010, n. 1 ad art. 163 CP). Le bien juridique protégé par les infractions en matière de faillite selon les art. 163 ss CP est donc le patrimoine des créanciers du failli (ATF 148 IV 170 consid. 3.4.1 ; ATF 140 IV 155 consid. 3.3.2 ; TF 6B_1208/2019 du 29 avril 2020 consid. 2.3.1). Par conséquent, les personnes lésées au sens de l’art. 115 al. 1 CPP sont les différents créanciers du failli (ATF 148 IV 170 consid. 3.4.1 ; TF 6B_1279/2018 du 26 mars 2019 consid. 1.2.1 et les réf. ; TF 12J010</w:t>
      </w:r>
    </w:p>
    <w:p>
      <w:r>
        <w:t>- 10 - 6B_1024/2017 du 17 novembre 2017 consid. 1.2 ; TF 6B_551/2015 du 24 février 2016 consid. 1.2 ; TF 6B_252/2013 du 14 mai 2013 consid. 2.2). Les actionnaires ne sont qu’indirectement touchés par les infractions en matière de faillite, à moins qu’ils n’aient en même temps (gleichzeitig) la qualité de créancier (ATF 148 IV 170 consid. 3.4.1 ; TF 6B_252/2013 du 14 mai 2013 consid. 2.3 ; Mazzucchelli/Postizzi, in : Basler Kommentar, op. cit., Art. 1-195 StPO, n. 60 ad art. 115 CPP et les réf.). L'art. 163 CP vise le débiteur qui diminue fictivement le patrimoine pour désintéresser les créanciers par la voie de la poursuite pour dettes (TF 6B_575/2009 du 14 janvier 2010 consid. 1.1). 4.2 Aux termes de l’art. 52 al. 1 LAVS (Loi fédérale sur l’assurance- vieillesse et survivants ; RS 831.10), l’employeur qui intentionnellement ou par négligence grave n’observe pas des prescriptions et cause ainsi un dommage à la caisse de compensation est tenu à réparation. Selon l’alinéa 2 de cette disposition, si l’employeur est une personne morale, les membres de l’administration et toutes les personnes qui s’occupent de la gestion ou de la liquidation répondent à titre subsidiaire du dommage. 5. C’est au titre de de l’art. 52 LAVS que le recourant a, comme déjà relevé, fait l’objet d’une réclamation de la Caisse de compensation AVS, formulée par décision du 13 janvier 2022, confirmée par décision sur opposition du 11 mars 2022, puis, en dernière instance, par arrêt rendu le</w:t>
      </w:r>
    </w:p>
    <w:p>
      <w:r>
        <w:rPr>
          <w:b/>
        </w:rPr>
        <w:t>E. 12</w:t>
      </w:r>
    </w:p>
    <w:p>
      <w:r>
        <w:t>juin 2025 par la IIIe Cour de droit public du Tribunal fédéral. Le recourant ne soutient pas que la société C.________ Sàrl, respectivement D.________, auraient volontairement diminué des actifs sociaux pour éviter qu’il soit dédommagé dans la faillite. D’ailleurs, le recourant n’est pas un créancier de la société dans la faillite de celle-ci, puisque la Caisse de compensation ne s’est retournée contre lui que postérieurement à la faillite, en vertu de l’art. 52 al. 2 LAVS, donc en le tenant pour responsable, à l’instar de l’employeur, du dommage subi du fait du non-paiement de cotisations par C.________ Sàrl. Ainsi, il se confond de fait avec la société quant à l’obligation de paiement des cotisations sociales. Cela exclut qu’il soit créancier en réparation à ce titre à défaut de tout dommage direct qui aurait illicitement 12J010</w:t>
      </w:r>
    </w:p>
    <w:p>
      <w:r>
        <w:t>- 11 - été porté à son patrimoine. De même, soit en l’absence d’atteinte patrimoniale relevant du droit pénal, les art. 163, 164 et 165 CP ne sauraient trouver application. Ces motifs excluent la qualité de lésé du recourant au sens de l’art. 115 al. 1 CPP et, partant, celle de partie plaignante selon l’art. 118 al. 1 CPP. 6. Au vu de ce qui précède, le recours, manifestement mal fondé, doit être rejeté dans la mesure de sa recevabilité, sans échange d’écritures (art. 390 al. 2 CPP), et l’ordonnance du 28 octobre 2025 confirmée. Les frais de la procédure de recours, constitués du seul émolument d’arrêt (art. 422 al. 1 CPP), par 1’100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de sa recevabilité. II. L’ordonnance du 28 octobre 2025 est confirmée. III. Les frais d’arrêt, par 1’100 fr. (mille cent francs), sont mis à la charge de B.________. IV. L’arrêt est exécutoire. Le président : Le greffier : 12J010</w:t>
      </w:r>
    </w:p>
    <w:p>
      <w:r>
        <w:t>- 12 - Du Le présent arrêt, dont la rédaction a été approuvée à huis clos, est notifié, par l'envoi d'une copie complète, à : - M. B.________,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