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PE25.016949 vom 6. November 2025</w:t>
      </w:r>
    </w:p>
    <w:p>
      <w:r>
        <w:t>VD Tribunal cantonal, 2025-11-06, FR</w:t>
      </w:r>
    </w:p>
    <w:p>
      <w:r>
        <w:rPr>
          <w:b/>
        </w:rPr>
        <w:t xml:space="preserve">Quelle: </w:t>
      </w:r>
      <w:r>
        <w:t>https://mcp.opencaselaw.ch/entscheid/vd_gerichte_PE25.016949</w:t>
      </w:r>
    </w:p>
    <w:p>
      <w:r>
        <w:t>FR: VD_GERICHTE PE25.016949 du 6 novembre 2025</w:t>
      </w:r>
    </w:p>
    <w:p>
      <w:r>
        <w:t>IT: VD_GERICHTE PE25.016949 del 6 novembre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w:t>
      </w:r>
    </w:p>
    <w:p>
      <w:r>
        <w:t>- 4 -</w:t>
      </w:r>
    </w:p>
    <w:p>
      <w:r>
        <w:rPr>
          <w:b/>
        </w:rPr>
        <w:t>E. 1.2</w:t>
      </w:r>
    </w:p>
    <w:p>
      <w:r>
        <w:t>Interjeté en temps utile devant l’autorité compétente par la partie plaignante qui a qualité pour recourir (art. 382 al. 1 CPP) et satisfaisant aux conditions de forme prescrites (art. 385 al. 1 CPP), le recours est recevable. Il en va de même des pièces complémentaires produites les 5 septembre et 15 octobre 2025 (art. 389 al. 3 CPP ; TF 7B_1011/2023 du 11 janvier 2024 consid. 3.4 et les références citées).</w:t>
      </w:r>
    </w:p>
    <w:p>
      <w:r>
        <w:rPr>
          <w:b/>
        </w:rPr>
        <w:t>E. 2</w:t>
      </w:r>
    </w:p>
    <w:p>
      <w:r>
        <w:t>Le recourant reproche au Ministère public d’avoir apprécié la facture en cause sans tenir compte du contexte du litige successoral. Il fait valoir que les prétentions de son frère B.P.________, fondées sur un entreposage ancien, n’ont été facturées qu’au moment de ce conflit, alors que rien ne s’y opposait auparavant, et qu’il est le seul dépositaire à avoir reçu une facture, ce qui révèlerait un lien direct avec ce litige. Il soutient en outre que son frère sait qu’il n’est pas en mesure de s’acquitter du montant réclamé, si bien que celui-ci exercerait une pression destinée à l’influencer, au détriment de ses intérêts, dans les décisions à prendre en lien avec la succession. Dans ces conditions, il existerait une menace d’un dommage sérieux au sens de l’art. 181 CP.</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consid. 4.1.2 ; TF 7B_107/2023 précité). En d'autres termes, il faut être certain que l'état de fait ne constitue aucune infraction. Une</w:t>
      </w:r>
    </w:p>
    <w:p>
      <w:r>
        <w:t>- 5 -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Alors que la violence consiste dans l’emploi d’une force physique d’une certaine intensité à l’encontre de la victime (ATF 101 IV 42 consid. 3a ; TF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précité consid. 1a ; ATF 120 IV 17 précité consid. 2a/aa).</w:t>
      </w:r>
    </w:p>
    <w:p>
      <w:r>
        <w:t>- 6 -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précité consid. 2a/bb ;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 TF 7B_270/2023 du 27 juin 2025 consid. 3.1.1 et les références citées).</w:t>
      </w:r>
    </w:p>
    <w:p>
      <w:r>
        <w:t>- 7 -</w:t>
      </w:r>
    </w:p>
    <w:p>
      <w:r>
        <w:rPr>
          <w:b/>
        </w:rPr>
        <w:t>E. 2.3</w:t>
      </w:r>
    </w:p>
    <w:p>
      <w:r>
        <w:t>En l’occurrence, c’est à bon droit que le procureur a retenu que le simple fait d’élever une prétention à l’encontre d’autrui ne constitue pas un moyen de contrainte propre à impressionner une personne de sensibilité moyenne et à l’entraver d’une manière substantielle dans sa liberté de décision ou d’action. Dans le cas d’espèce, l’envoi d’une simple facture l’était d’autant moins qu’elle a été adressée à l’avocat du recourant, lequel était en capacité de rassurer son client quant aux conséquences somme toute bénignes d’un tel procédé, et que la démarche intervenait dans le contexte d’un litige lié à la liquidation d’une succession, dans lequel il n’y a rien d’insolite à ce que les parties élèvent des prétentions l’une contre l’autre. Il en va de même d’ailleurs des rappels que B.P.________ a adressés au recourant et que ce dernier a produits devant la Chambre de céans. Pour ce motif déjà, l’ordonnance entreprise ne prête pas le flanc à la critique. Par ailleurs, le procureur peut aussi être suivi quand il estime que la démarche que le recourant reproche à son frère ne paraît pas procéder d’un quelconque abus. Contrairement à ce qu’il fait plaider, le fait que la prétention soit élevée dans le contexte d’un litige successoral ne confère pas ipso facto un caractère abusif au procédé, puisque, encore une fois, il est bien naturel qu’une partie à un tel différend saisisse l’occasion d’y faire valoir toutes les prétentions qu’elle estime détenir à l’encontre de l’autre. Il s’ensuit que le seul fait que B.P.________ n’a pas réclamé plus tôt le paiement de sa prétendue créance envers le recourant ne permet pas, à lui seul, de retenir qu’il poursuivrait un objectif autre – et nécessairement moins avouable – que celui, légitime, consistant à faire valoir ses droits. Enfin, le recourant ne dit pas quelle décision en rapport avec la liquidation de la succession le procédé de son frère viserait à le contraindre de prendre, de sorte que, de ce point de vue également, l’un des éléments constitutifs de l’infraction de contrainte fait défaut. Pour le reste, le recourant ne conteste pas l’ordonnance de non-entrée en matière en tant qu’elle concerne sa plainte relative à des infractions portant prétendument atteinte à son honneur.</w:t>
      </w:r>
    </w:p>
    <w:p>
      <w:r>
        <w:t>- 8 -</w:t>
      </w:r>
    </w:p>
    <w:p>
      <w:r>
        <w:rPr>
          <w:b/>
        </w:rPr>
        <w:t>E. 3</w:t>
      </w:r>
    </w:p>
    <w:p>
      <w:r>
        <w:t>En définitive, le recours, manifestement mal fondé, doit être rejeté sans échange d’écritures (art. 390 al. 2 CPP) et l’ordonnance entreprise confirmée. Vu le sort du recours, les frais de la procédure, constitués en l’espèce de l’émolument d'arrêt, par 770 fr. (art. 20 al. 1 TFIP [tarif des frais de procédure et indemnités en matière pénale du 28 septembre 2010 ; BLV 312.03.1]), seront mis à la charge de A.P.________, qui succombe (art. 428 al. 1 CPP). Pour le même motif, il n’y a pas lieu de lui octroyer une indemnité pour ses frais de conseil. Le montant de 770 fr. déjà versé à titre de sûretés sera compensé avec les frais mis à la charge du recourant (art. 383 al. 1 CPP ; art. 7 TFIP). Par ces motifs, la Chambre des recours pénale prononce : I. Le recours est rejeté. II. L’ordonnance du 20 août 2025 est confirmée. III. Les frais d’arrêt, par 770 fr. (sept cent septante francs), sont mis à la charge de A.P.________. IV. Le montant de 770 fr. (sept cent septante francs) versé par A.P.________ à titre de sûretés est compensé avec les frais mis à sa charge au chiffre III ci-dessus. V. L’arrêt est exécutoire. Le président : Le greffier :</w:t>
      </w:r>
    </w:p>
    <w:p>
      <w:r>
        <w:t>- 9 - Du Le présent arrêt, dont la rédaction a été approuvée à huis clos, est notifié, par l'envoi d'une copie complète, à : - Me Denis Mathey, avocat (pour A.P.________),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