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PE25.016166 vom 31. Dezember 2025</w:t>
      </w:r>
    </w:p>
    <w:p>
      <w:r>
        <w:t>VD Tribunal cantonal, 2025-12-31, FR</w:t>
      </w:r>
    </w:p>
    <w:p>
      <w:r>
        <w:rPr>
          <w:b/>
        </w:rPr>
        <w:t xml:space="preserve">Quelle: </w:t>
      </w:r>
      <w:r>
        <w:t>https://mcp.opencaselaw.ch/entscheid/vd_gerichte_PE25.016166</w:t>
      </w:r>
    </w:p>
    <w:p>
      <w:r>
        <w:t>FR: VD_GERICHTE PE25.016166 du 31 décembre 2025</w:t>
      </w:r>
    </w:p>
    <w:p>
      <w:r>
        <w:t>IT: VD_GERICHTE PE25.016166 del 31 dicembre 2025</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12J010</w:t>
      </w:r>
    </w:p>
    <w:p>
      <w:r>
        <w:t>- 4 -</w:t>
      </w:r>
    </w:p>
    <w:p>
      <w:r>
        <w:rPr>
          <w:b/>
        </w:rPr>
        <w:t>E. 1.2</w:t>
      </w:r>
    </w:p>
    <w:p>
      <w:r>
        <w:t>En l’espèce, interjeté en temps utile auprès de l’autorité compétente et dans les formes prescrites, par la partie plaignante qui a qualité pour recourir (art. 382 al. 1 CPP), le recours est recevable. Il en va de même des pièces nouvelles produites à l’appui de celui-ci (art. 389 al. 3 CPP ; TF 7B_1011/2023 du 11 janvier 2024 consid. 3.4 et les références citées).</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 TF 7B_107/2023 du 20 novembre 2024 consid. 3.1.2) et signifie qu'en principe, un classement ou une non-entrée en matière ne peuvent être prononcés par le Ministère public que lorsqu'il apparaît clairement que les faits ne sont pas punissables ou que les conditions de la poursuite pénale ne sont pas remplies (ATF 146 IV 68 consid. 2.1 ; ATF 143 IV 241 consid. 2.2.1 ; ATF 138 IV 86 consid. 4.1.2 ; TF 7B_107/2023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12J010</w:t>
      </w:r>
    </w:p>
    <w:p>
      <w:r>
        <w:t>- 5 - pourra apporter la preuve d’une infraction à la charge d’une personne déterminée (TF 6B_541/2017 du 20 décembre 2017 consid. 2.2).</w:t>
      </w:r>
    </w:p>
    <w:p>
      <w:r>
        <w:rPr>
          <w:b/>
        </w:rPr>
        <w:t>E. 3</w:t>
      </w:r>
    </w:p>
    <w:p>
      <w:r>
        <w:t>Au vu de ce qui précède, le recours doit être admis, l’ordonnance entreprise annulée et le dossier de la cause renvoyé au Ministère public pour qu’il procède à un complément d’enquête dans le sens des considérants qui précèdent. C.________ a demandé l’assistance judiciaire pour la procédure de recours ainsi que la désignation de Me Laurinda Konde en qualité de conseil juridique gratuit. Cette requête doit être admise, les conditions fixées par l’art. 136 al. 1 let. a et al. 2 let. c CPP étant réalisées. Au vu de l’acte de recours et des correspondances des 7 et 9 octobre 2025, l’indemnité de conseil juridique gratuit sera fixée à 720 fr., sur la base d’une activité d’avocat de 4h00 au tarif horaire de 180 fr., montant auquel il convient d’ajouter des débours forfaitaires à concurrence de 2 %, par 14 fr. 40, et la TVA au taux de 8,1 %, par 59 fr. 50, soit à 794 fr. au total, en chiffres arrondis. Les frais de la procédure de recours, constitués en l’espèce de l’émolument d’arrêt, par 770 fr. (art. 20 al. 1 TFIP [tarif des frais de procédure et indemnités en matière pénale du 28 septembre 2010 ; BLV 312.03.1]), et des frais imputables à l’assistance gratuite (art. 422 al.1 et 2 let. a CPP), par 794 fr., seront laissés à la charge de l’Etat. 12J010</w:t>
      </w:r>
    </w:p>
    <w:p>
      <w:r>
        <w:t>- 8 - Par ces motifs, la Chambre des recours pénale prononce : I. Le recours est admis. II. L’ordonnance du 20 août 2025 est annulée. III. Le dossier de la cause est renvoyé au Ministère public de l’arrondissement de Lausanne pour qu’il procède dans le sens des considérants. IV. La requête d’assistance judiciaire de C.________ est admise et Me Laurinda Konde est désignée en qualité de conseil juridique gratuit pour la procédure de recours. V. L’indemnité allouée à Me Laurinda Konde, conseil juridique gratuit de C.________, est fixée à 794 fr. (sept cent nonante- quatre francs). VI. Les frais d’arrêt, par 770 fr. (sept cent septante francs), ainsi que l’indemnité de conseil juridique gratuit, par 794 fr. (sept cent nonante-quatre francs), sont laissés à la charge de l’Etat. VII. L’arrêt est exécutoire. Le président : Le greffier : Du Le présent arrêt, dont la rédaction a été approuvée à huis clos, est notifié, par l'envoi d'une copie complète, à : - Me Laurinda Konde, avocate (pour C.________), - Ministère public central, et communiqué à : - M. le Procureur de l’arrondissement de Lausanne, 12J010</w:t>
      </w:r>
    </w:p>
    <w:p>
      <w:r>
        <w:t>- 9 -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r>
        <w:rPr>
          <w:b/>
        </w:rPr>
        <w:t>E. 3.1</w:t>
      </w:r>
    </w:p>
    <w:p>
      <w:r>
        <w:t>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formels et matériels, auprès d’une autorité disposant d’une pleine cognition en fait et en droit (cf. art. 391 al. 1 et 393 al. 2 CPP ; TF 7B_1425/2024 du 21 juillet 2025 consid. 3.2.2 ; TF 7B_527/2024 du 15 juillet 2025 consid. 2.2 ; TF 7B_372/2024 du 12 juin 2024 consid. 2.2.2). En outre, s’il est vrai que le droit d'être entendu comprend notamment celui de produire ou de faire administrer des preuves, à condition qu'elles soient pertinentes et de nature à influer sur la décision à rendre (ATF 145 I 73 consid. 7.2.2.1 ; ATF 143 V 71 consid. 4.1 ; ATF 142 II 218 consid. 2.3 ; ATF 140 I 285 consid. 6.3.1 et 12J010</w:t>
      </w:r>
    </w:p>
    <w:p>
      <w:r>
        <w:t>- 6 - les références citées), il n'empêche pas le magistrat de mettre un terme à l'instruction lorsque les preuves administrées lui ont permis de se forger une conviction et que, procédant à une appréciation anticipée des preuves qui lui sont encore proposées, il a la certitude qu'elles ne pourraient pas l'amener à modifier son opinion. Le refus d'instruire ne viole le droit d'être entendu des parties que si l'appréciation anticipée de la pertinence du moyen de preuve offert, à laquelle le juge a procédé, est entachée d'arbitraire (ATF 144 II 427 consid. 3.1.3 ; ATF 141 I 60 consid. 3.3 ; ATF 136 I 229 consid. 5.3 ; TF 6B_957/2024 du 12 décembre 2025 consid. 2.1.1).</w:t>
      </w:r>
    </w:p>
    <w:p>
      <w:r>
        <w:rPr>
          <w:b/>
        </w:rPr>
        <w:t>E. 3.2</w:t>
      </w:r>
    </w:p>
    <w:p>
      <w:r>
        <w:t>En l’espèce, le grief tiré de la violation du droit d’être entendu doit d’emblée être rejeté. En effet, selon la jurisprudence rappelée ci- dessus, le Ministère public n’a, en principe, au stade de la non-entrée en matière, ni l’obligation d’entendre la partie plaignante ni celle de l’aviser préalablement avant de rendre son ordonnance. De plus, on ne saurait reprocher au Ministère public de ne pas avoir tenu compte d’échanges de messages dont la recourante a elle-même indiqué, lors de son audition par la police, qu’ils n’existaient plus et qu’elle n’a finalement produits – du reste, sans traduction – qu’à l’appui du présent recours. Cela étant, et même si la recourante n’invoque pas expressément une violation du principe in dubio pro duriore, son recours doit être admis, non pas parce que le Ministère public aurait mal apprécié les faits compte tenu des éléments dont il disposait, mais parce que les messages en portugais produits, qui constituent des pièces nouvelles recevables, évoquent, sous réserve de traduction, des actes d’ordre sexuel commis durant le sommeil de la recourante, ainsi que des excuses de son compagnon. Certes, ces messages, datés des 31 janvier, 1er et 6 février 2019, semblent prima facie ne pas concerner l’épisode litigieux, lequel se serait produit, selon les déclarations concordantes des parties, le 3 mai 2019. Ils ne peuvent toutefois pas être ignorés au regard de la nature des faits dénoncés et du principe in dubio pro duriore. Il appartiendra dès lors au Ministère public de faire traduire ces messages, au sujet desquels les parties devront être interrogées. 12J010</w:t>
      </w:r>
    </w:p>
    <w:p>
      <w:r>
        <w:t>- 7 - Au surplus, les faits prétendument survenus au Portugal sont poursuivables en Suisse selon l’art. 6 CP en relation avec les art. 36 et 44 de la Convention du Conseil de l’Europe sur la prévention et la lutte contre la violence à l’égard des femmes et la violence domestique du 11 mai 2011 (Convention d’Istanbul ; RS 0.311.35).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