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PE25.015179 vom 2. September 2025</w:t>
      </w:r>
    </w:p>
    <w:p>
      <w:r>
        <w:t>VD Tribunal cantonal, 2025-09-02, FR</w:t>
      </w:r>
    </w:p>
    <w:p>
      <w:r>
        <w:rPr>
          <w:b/>
        </w:rPr>
        <w:t xml:space="preserve">Quelle: </w:t>
      </w:r>
      <w:r>
        <w:t>https://mcp.opencaselaw.ch/entscheid/vd_gerichte_PE25.015179</w:t>
      </w:r>
    </w:p>
    <w:p>
      <w:r>
        <w:t>FR: VD_GERICHTE PE25.015179 du 2 septembre 2025</w:t>
      </w:r>
    </w:p>
    <w:p>
      <w:r>
        <w:t>IT: VD_GERICHTE PE25.015179 del 2 settembre 2025</w:t>
      </w:r>
    </w:p>
    <w:p>
      <w:pPr>
        <w:pStyle w:val="Heading2"/>
      </w:pPr>
      <w:r>
        <w:t>Erwägungen</w:t>
      </w:r>
    </w:p>
    <w:p>
      <w:r>
        <w:rPr>
          <w:b/>
        </w:rPr>
        <w:t>E. 1.1</w:t>
      </w:r>
    </w:p>
    <w:p>
      <w:r>
        <w:t>Aux termes de l’art. 393 al. 1 let. c CPP, le recours est recevable contre les décisions du Tribunal des mesures de contrainte, pour autant que le présent code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Cette disposition autorise également le détenu, malgré</w:t>
      </w:r>
    </w:p>
    <w:p>
      <w:r>
        <w:t>- 7 - une formulation peu claire, à attaquer devant l’autorité de recours une décision refusant la libération de la détention (CREP 29 juillet 2025/559 consid. 1.1 ; CREP 16 mai 2025/356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détenu qui a qualité pour recourir (art. 382 al. 1 CPP) et dans les formes prescrites (art. 385 al. 1 CPP), le recours est recevable. Il en va de même des pièces nouvelles (art. 389 al. 3 CPP).</w:t>
      </w:r>
    </w:p>
    <w:p>
      <w:r>
        <w:rPr>
          <w:b/>
        </w:rPr>
        <w:t>E. 2.1</w:t>
      </w:r>
    </w:p>
    <w:p>
      <w:r>
        <w:t>A titre de mesure d’instruction, le recourant requiert son audition devant la Chambre de céans expliquant ne pas avoir eu l’occasion d’être entendu devant le Tribunal des mesures de contrainte.</w:t>
      </w:r>
    </w:p>
    <w:p>
      <w:r>
        <w:rPr>
          <w:b/>
        </w:rPr>
        <w:t>E. 2.2</w:t>
      </w:r>
    </w:p>
    <w:p>
      <w:r>
        <w:t>; Coquoz, in : Jeanneret/Kuhn/Perrier Depeursinge [éd.], Commentaire romand, Code de procédure pénale suisse, 2e éd., Bâle 2019, n. 2 ad art. 237 CPP). À teneur de l'art. 238 CPP, s'il y a danger de fuite, le tribunal peut astreindre le prévenu au versement d'une somme d'argent afin de garantir qu'il se présentera aux actes de procédure et qu'il se soumettra à</w:t>
      </w:r>
    </w:p>
    <w:p>
      <w:r>
        <w:t>- 12 -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 et de la confiance qu'on peut avoir que la perspective de perdre le montant agira comme un frein suffisamment puissant pour écarter toute velléité de fuite (TF 7B_580/2025 précité consid. 4.3.2 et les arrêts cités).</w:t>
      </w:r>
    </w:p>
    <w:p>
      <w:r>
        <w:rPr>
          <w:b/>
        </w:rPr>
        <w:t>E. 2.3</w:t>
      </w:r>
    </w:p>
    <w:p>
      <w:r>
        <w:t>En l’espèce, le recourant a pu faire valoir ses moyens par écrit dans le cadre des écritures qu’il a déposées devant l’autorité précédente ainsi que dans son mémoire de recours. Dans ses déterminations du 8 août 2025, il a par ailleurs délibérément renoncé à la tenue d’une audience devant le Tribunal des mesures de contrainte, comme l’autorise l’art. 228 al. 4 CPP. Il ne fait en outre valoir aucun motif concret qui justifierait de faire une exception au principe selon lequel la procédure de recours est écrite. Enfin, le dossier est suffisamment complet pour permettre à la Chambre de céans de statuer sur le recours en toute connaissance de cause. Il s’ensuit que le critère de nécessité posé par l’art. 389 al. 3 CPP n’est pas réalisé et que la requête du recourant tendant à la tenue d’une audience doit être rejetée.</w:t>
      </w:r>
    </w:p>
    <w:p>
      <w:r>
        <w:rPr>
          <w:b/>
        </w:rPr>
        <w:t>E. 3</w:t>
      </w:r>
    </w:p>
    <w:p>
      <w:r>
        <w:t>Le recourant ne conteste pas, à juste titre, l’existence de soupçons suffisants à son encontre. En effet, il a reconnu l’essentiel des faits, et ceux-ci sont corroborés par les déclarations de A.________. En outre, il a été appréhendé par la police à proximité du lieu de l’infraction. Le raisonnement du tribunal sur la réalisation de la première condition de l’art. 221 al. 1 CPP ne prête donc pas le flanc à la critique.</w:t>
      </w:r>
    </w:p>
    <w:p>
      <w:r>
        <w:rPr>
          <w:b/>
        </w:rPr>
        <w:t>E. 4.1</w:t>
      </w:r>
    </w:p>
    <w:p>
      <w:r>
        <w:t>Le recourant conteste en revanche la réalisation d’un risque de fuite, faisant valoir que son intention de partir s’installer en Australie ne reposerait sur aucun élément concret, qu’il a bien collaboré dans le cadre de l’enquête, qu’il a pris conscience de la gravité de ses actes et a manifesté son intention d’en assumer les conséquences et qu’il a pour projet de retourner vivre en France où il pourra travailler pour son père et bénéficier du soutien de sa famille. Il ajoute enfin que son coprévenu A.________ a été remis en liberté par le Tribunal des mineurs alors même qu’il ne présenterait pas les mêmes garanties que lui.</w:t>
      </w:r>
    </w:p>
    <w:p>
      <w:r>
        <w:t>- 9 -</w:t>
      </w:r>
    </w:p>
    <w:p>
      <w:r>
        <w:rPr>
          <w:b/>
        </w:rPr>
        <w:t>E. 4.2</w:t>
      </w:r>
    </w:p>
    <w:p>
      <w:r>
        <w:t>Selon l’art. 221 al. 1 let. a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du Code de procédure pénale, 3e éd., Bâle 2025,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7B_1405/2024 du 4 août 2025 consid. 4.2.3).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4.3</w:t>
      </w:r>
    </w:p>
    <w:p>
      <w:r>
        <w:t>En l’occurrence, c’est en vain que le recourant cherche à prendre appui sur la libération de son coprévenu mineur pour justifier sa propre mise en liberté puisque l’existence d’un risque de fuite s’examine en fonction des circonstances concrètes de chaque situation. Pour le reste, l’analyse du Tribunal des mesures de contrainte doit être confirmée. Le recourant est en effet un ressortissant français qui n’a absolument aucun lien avec la Suisse – si ce n’est une tante à Genève mais dont il ne semble</w:t>
      </w:r>
    </w:p>
    <w:p>
      <w:r>
        <w:t>- 10 - pas proche –, pays dans lequel il n'est venu que pour commettre des délits. Avant son arrestation, il vivait en France avec ses parents et sa sœur. C’est là que se trouvent ses centres d’intérêt. Il ne fait par ailleurs pas mystère de son intention de retourner dans ce pays auprès de sa famille s’il venait à être libéré. Dans cette éventualité, sa participation à la suite de la procédure, notamment devant l’autorité de première instance, et sa soumission à la sanction qui pourrait être prononcée contre lui en cas de condamnation dépendrait exclusivement de sa seule – bonne – volonté dès lors que la France n’extrade pas ses ressortissants. Or, il y a tout lieu de craindre que la perspective d’être condamné à une peine non négligeable – le seul vol en bande étant déjà passible d’une peine privative de liberté minimale de six mois (art. 139 ch. 3 let. b CP) – le conduise à ne pas donner suite aux mandats de comparution qui lui seraient notifiés, et ce même s’il affirme aujourd’hui être prêt à assumer les conséquences de ses actes. L’existence d’un risque de fuite justifie donc son maintien en détention provisoire.</w:t>
      </w:r>
    </w:p>
    <w:p>
      <w:r>
        <w:rPr>
          <w:b/>
        </w:rPr>
        <w:t>E. 5</w:t>
      </w:r>
    </w:p>
    <w:p>
      <w:r>
        <w:t>Le recourant conteste ensuite les risques de collusion et de réitération. Ceux-ci n’ont toutefois pas été retenus par la première juge. Il n’est en outre pas nécessaire d’examiner ces griefs, les conditions de la détention provisoire étant alternatives, de sorte que l’existence d’un seul motif au sens de l’art. 221 al. 1 CPP – en l’occurrence, le risque de fuite – est suffisant pour confirmer le refus de la libération du recourant (cf. notamment TF 7B_580/2025 du 21 juillet 2025 consid. 3.2).</w:t>
      </w:r>
    </w:p>
    <w:p>
      <w:r>
        <w:rPr>
          <w:b/>
        </w:rPr>
        <w:t>E. 6.1</w:t>
      </w:r>
    </w:p>
    <w:p>
      <w:r>
        <w:t>Le recourant propose une série de mesures de substitution – la fourniture de sûretés d’un montant de 1'000 euros sur le compte de la direction de la procédure, la conservation de ses documents d’identité et autres documents officiels en sa possession, saisis lors de son interpellation, l’obligation de se présenter régulièrement à un service administratif, soit la gendarmerie la plus proche de son domicile ou celui de ses parents, l’obligation de prendre et de conserver son emploi en qualité de collaborateur d’agence auprès de son père, en France, et l’interdiction d’entretenir tout contact avec A.________ ou tout autre</w:t>
      </w:r>
    </w:p>
    <w:p>
      <w:r>
        <w:t>- 11 - personne concernée par les infractions qui lui sont reprochés – lesquelles constitueraient une alternative sérieuse à la détention.</w:t>
      </w:r>
    </w:p>
    <w:p>
      <w:r>
        <w:rPr>
          <w:b/>
        </w:rPr>
        <w:t>E. 6.2</w:t>
      </w:r>
    </w:p>
    <w:p>
      <w:r>
        <w:t>Conformément au principe de la proportionnalité (art. 36 al. 3 Cst. [Constitution fédérale suisse du 18 avril 1999 ; RS 101]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7B_580/2025 précité consid. 4.3.2).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w:t>
      </w:r>
    </w:p>
    <w:p>
      <w:r>
        <w:rPr>
          <w:b/>
        </w:rPr>
        <w:t>E. 6.3</w:t>
      </w:r>
    </w:p>
    <w:p>
      <w:r>
        <w:t>En l’espèce, le recourant a pour projet de regagner la France dès sa remise en liberté. On ne voit ainsi pas en quoi le dépôt de ses documents officiels auprès du Ministère public, l’obligation de se présenter à un service administratif et/ou d’occuper un emploi, ainsi que celle de ne pas prendre contact avec son coprévenu seraient de nature à garantir son retour en Suisse pour les prochaines étapes de la procédure. A vrai dire, seul le dépôt de sûretés au sens de l’art. 238 CPP pourrait éventuellement entrer en ligne de compte. Sur ce point, le recourant propose de verser un montant de 1'000 euros qu’il présente comme l’équivalent de l’intégralité de ses économies. On ignore toutefois tout de sa situation financière réelle, si ce n’est que, selon ses propres allégations, il semble vivre au sein d’une famille aisée (cf. PV aud. 1, p. 3), de sorte que pour cette raison déjà, le montant proposé paraît insuffisant. A ce stade, il n’est en tout cas pas possible de retenir que le versement d’une somme de 1'000 euros suffirait pour dissuader le recourant de se soustraire à la suite de la procédure.</w:t>
      </w:r>
    </w:p>
    <w:p>
      <w:r>
        <w:rPr>
          <w:b/>
        </w:rPr>
        <w:t>E. 7</w:t>
      </w:r>
    </w:p>
    <w:p>
      <w:r>
        <w:t>S’agissant de la durée de la détention, l’ordonnance attaquée échappe à la critique compte tenu du risque retenu et de la peine encourue concrètement par le recourant dans l’hypothèse d’une</w:t>
      </w:r>
    </w:p>
    <w:p>
      <w:r>
        <w:t>- 13 - condamnation, soit une peine privative de liberté minimale de six mois (art. 139 ch. 3 let. b CP).</w:t>
      </w:r>
    </w:p>
    <w:p>
      <w:r>
        <w:rPr>
          <w:b/>
        </w:rPr>
        <w:t>E. 8</w:t>
      </w:r>
    </w:p>
    <w:p>
      <w:r>
        <w:t>Il résulte de ce qui précède que, le recours, manifestement mal fondé, doit être rejeté, sans échange d’écritures (art. 390 al. 2 CPP), et l’ordonnance du 14 août 2025 confirmée. Le recourant sollicite d’être mis au bénéfice de l’assistance judiciaire et la désignation de Me François Chanson en qualité de défenseur d’office. Dans la mesure où l’assistance judiciaire gratuite, comprenant l’exonération des frais de procédure, ne concerne que la partie plaignante (cf. art. 136 CPP), la conclusion du recourant ne vise en réalité que la désignation d’un défenseur d’office. Or, de pratique constante, le droit à un défenseur d’office en matière pénale vaut pour toutes les étapes de la procédure et ne prend fin qu’à l’épuisement des voies de droit régie par le CPP (CREP 17 décembre 2024/868). Sa conclusion est donc superflue. Au vu du travail accompli par Me François Chanson, il sera retenu quatre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Viennent s’y ajouter des débours forfaitaires à hauteur de 2 % des honoraires admis (art. 3bis al. 1 RAJ), soit 14 fr. 40, et la TVA au taux de 8,1 % sur le tout, par 59 fr. 48. L’indemnité d’office s’élève au total à 794 fr. en chiffres ronds. Les frais de la procédure de recours, qui sont constitués en l’espèce de l’émolument d’arrêt, par 1’430 fr. (art. 20 al. 1 TFIP), et de l’indemnité due au défenseur d’office (art. 422 al. 1 et 2 let. a CPP), par 794 fr., seront mis à la charge du recourant, qui succombe (art. 428 al. 1 CPP).</w:t>
      </w:r>
    </w:p>
    <w:p>
      <w:r>
        <w:t>- 14 - Le remboursement à l’Etat de l’indemnité allouée au défenseur d’office sera exigible du recourant dès que sa situation financière le permettra (art. 135 al. 4 CPP). Par ces motifs, la Chambre des recours pénale prononce : I. Le recours est rejeté. II. L’ordonnance du 14 août 2025 est confirmée. III. L’indemnité allouée à Me François Chanson, défenseur d’office de X.________, est fixée à 794 fr. (sept cent nonante quatre francs). IV. Les frais d’arrêt, par 1’430 fr. (mille quatre cent trente francs), ainsi que l’indemnité allouée à Me François Chanson, par 794 fr. (sept cent nonante quatre francs), sont mis à la charge de X.________. V. Le remboursement à l’Etat de l’indemnité allouée au chiffre III ci-dessus sera exigible de X.________ dès que sa situation financière le permettra. VI. L’arrêt est exécutoire. Le président : La greffière :</w:t>
      </w:r>
    </w:p>
    <w:p>
      <w:r>
        <w:t>- 15 - Du Le présent arrêt, dont la rédaction a été approuvée à huis clos, est notifié, par l'envoi d'une copie complète, à : - Me François Chanson, avocat (pour X.________), - Ministère public central, et communiqué à : - Mme la Présidente du Tribunal des mesures de contrainte, - Mme la Procureure cantonale Strada, - Service de la population, par courrier électronique,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