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PE25.014818 vom 12. Mai 2026</w:t>
      </w:r>
    </w:p>
    <w:p>
      <w:r>
        <w:t>VD Tribunal cantonal, 2026-05-12, FR</w:t>
      </w:r>
    </w:p>
    <w:p>
      <w:r>
        <w:rPr>
          <w:b/>
        </w:rPr>
        <w:t xml:space="preserve">Quelle: </w:t>
      </w:r>
      <w:r>
        <w:t>https://mcp.opencaselaw.ch/entscheid/vd_gerichte_PE25.014818</w:t>
      </w:r>
    </w:p>
    <w:p>
      <w:r>
        <w:t>FR: VD_GERICHTE PE25.014818 du 12 mai 2026</w:t>
      </w:r>
    </w:p>
    <w:p>
      <w:r>
        <w:t>IT: VD_GERICHTE PE25.014818 del 12 maggio 2026</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12J010</w:t>
      </w:r>
    </w:p>
    <w:p>
      <w:r>
        <w:t>- 4 -</w:t>
      </w:r>
    </w:p>
    <w:p>
      <w:r>
        <w:rPr>
          <w:b/>
        </w:rPr>
        <w:t>E. 1.2</w:t>
      </w:r>
    </w:p>
    <w:p>
      <w:r>
        <w:t>En l’espèce, interjeté en temps utile et dans les formes prescrites (art. 385 al. 1 CPP), devant l’autorité compétente, par la partie plaignante qui a qualité pour recourir (art. 382 al. 1 CPP), le recours est recevable, sous réserve de ce qui sera exposé au considérant 2.3.1 ci- dessous.</w:t>
      </w:r>
    </w:p>
    <w:p>
      <w:r>
        <w:rPr>
          <w:b/>
        </w:rPr>
        <w:t>E. 2.1</w:t>
      </w:r>
    </w:p>
    <w:p>
      <w:r>
        <w:t>Le recourant reproche au Ministère public de s’être basé uniquement sur les déclarations du prévenu lors de son audition du 25 juin 2025, plutôt que de procéder aux vérifications élémentaires et investigations imposées par les circonstances. Il invoque une violation du principe in dubio pro duriore et expose à cet égard que celui-ci aurait conservé le véhicule sans intention de le rendre et l’aurait même utilisé pour parcourir 8’000 kilomètres, avant d’être finalement contraint de le restituer. L’ampleur de ce kilométrage démontrerait que le prévenu a traité le véhicule comme le sien, sans égard pour la valeur du bien ni pour le mandat reçu. Cet usage non autorisé aurait entraîné une dépréciation significative de sa valeur marchande, compte tenu de la hausse du kilométrage et du temps écoulé depuis la remise du bien. Ce comportement du prévenu pendant deux ans révélerait un usage délibéré d’un bien confié comme s’il en était le propriétaire. Celui-ci aurait également multiplié de fausses promesses dans un premier temps, puis refusé de restituer le véhicule pendant plus d’une année. Concernant la restitution tardive du véhicule, elle serait intervenue en mai 2025, uniquement sous la pression de la procédure pénale, et elle ne saurait effacer l’infraction consommée bien en amont. Ainsi, le raisonnement du Ministère public sur l’absence manifeste des éléments constitutifs des infractions des art. 137 et 138 CP (Code pénal suisse du 21 décembre 1937 ; RS 311.0) serait insoutenable. Par ailleurs, le procureur n’aurait pas pris en considération la faillite de la société du prévenu, qui permettrait de conclure que le comportement de ce dernier ne s’inscrit pas dans un simple différend commercial isolé, mais dans un schéma global de défaillance économique caractéristique de plusieurs infractions patrimoniales telles que la gestion déloyale ou la banqueroute frauduleuse. Dans ce contexte, il aurait incombé au procureur de procéder à une vérification d’office de la situation 12J010</w:t>
      </w:r>
    </w:p>
    <w:p>
      <w:r>
        <w:t>- 5 - économique de la société et du rôle du prévenu dans sa gestion, celui-ci ayant déjà été condamné il y a huit ans dans une affaire similaire. Le recourant se réfère en outre aux déclarations du prévenu du 25 juin 2025 pour soutenir que celui-ci serait manifestement de mauvaise foi. Ainsi, ce dernier aurait contesté lui avoir annoncé dès avril 2023 qu’il était en mesure de vendre rapidement le véhicule pour 90’000 fr. et prétendu que celui-ci ne vaudrait que 62'000 fr. au maximum, ce qui serait contredit par les messages échangés entre les parties et les notes consignées par le recourant et figurant au dossier. Cette dépréciation résulterait directement de l’usage non autorisé et prolongé du véhicule par le prévenu lui-même, de sorte que celui-ci chercherait désormais à tirer argument de sa propre faute pour justifier la rétention du bien et la baisse de sa valeur. Ainsi, au vu des éléments suivants, à savoir la faillite de la société du prévenu, les antécédents de celui-ci, la rétention abusive d’un bien de valeur, l’usage non autorisé du véhicule confié, l’absence de restitution de ce véhicule, les contradictions multiples relevées à plusieurs reprises par les enquêteurs, l’absence d’un quelconque justificatif établissant des démarches entreprises en vue de vendre le véhicule, le Ministère public disposait d’un faisceau d’indices suffisants pour justifier l’ouverture d’une instruction. Il conviendrait en effet au moins d’entendre le plaignant sur les conditions précises de la remise du véhicule, de verser au dossier un extrait du casier judiciaire du prévenu et les documents comptables et bancaires de celui-ci et de sa société, afin de vérifier les opérations financières alléguées et le rôle personnel du prévenu dans la gestion de la société. Il s’agirait d’actes élémentaires pour une affaire de cette nature, qui seraient indispensables pour déterminer si son comportement relève d’un simple manquement contractuel ou d’un abus de confiance aggravé par une intention frauduleuse.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12J010</w:t>
      </w:r>
    </w:p>
    <w:p>
      <w:r>
        <w:t>- 6 -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86 consid. 4.1.2 et les références citées).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 12J010</w:t>
      </w:r>
    </w:p>
    <w:p>
      <w:r>
        <w:t>- 7 -</w:t>
      </w:r>
    </w:p>
    <w:p>
      <w:r>
        <w:rPr>
          <w:b/>
        </w:rPr>
        <w:t>E. 2.2.2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(ATF 144 IV 81 consid. 2.3.1 et les réf. cit.), ce qui n'est pas le cas lorsqu'il est touché par un simple effet réflexe (ATF 145 IV 161 consid. 3.1). Dans le cadre des voies de droit instituées par le CPP, un simple intérêt de fait ne suffit pas à conférer la qualité pour recourir (ATF 145 IV 161 consid. 3.1 ; TF 7B_12/2021 du 11 septembre 2023 et les réf. cit.). Le recourant doit ainsi établir que la décision attaquée viole une règle de droit qui a pour but de protéger ses intérêts et qu'il peut en conséquence en déduire un droit subjectif (ATF 145 IV 161 consid. 3.1 ; TF 7B_51/2024 du 25 avril 2024 consid. 2.2.1 et les réf. cit.). Une partie qui n'est pas concrètement lésée par la décision n'a donc pas la qualité pour recourir et son recours doit être déclaré irrecevable (ATF 144 IV 81 consid. 2.3.1). 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La notion de lésé est définie à l'art. 115 al. 1 CPP. Il s'agit de toute personne dont les droits ont été touchés directement par une infraction (ATF 147 IV 269 consid. 3.1 ; ATF 145 IV 491 consid. 2.3). Lorsque la norme protège un bien juridique individuel, la qualité de lésé appartient au titulaire de ce bien (ATF 141 IV 1 consid. 3.1 ; ATF 138 IV 256 consid. 2.3 ; ATF 129 IV 95 consid. 3.1 ; ATF 126 IV 42 consid. 2a ; ATF 117 la 135 consid. 2a ; Perrier Depeursinge, in : Kuhn/Jeanneret/Perrier Depeursinge [édit.], Commentaire romand, Code de procédure pénale suisse, 2e éd., Bâle 2019, nn. 6 et 8 ad art. 115 CPP). Pour être directement touché, le lésé doit subir une atteinte en rapport de causalité directe avec l'infraction poursuivie, ce qui exclut les dommages par ricochet (TF 7B_587/2023 du 11 septembre 2024 consid. 2.2.3 et les réf. cit. ; TF 7B_11/2023 du 27 septembre 2023 consid. 3.2.1). 12J010</w:t>
      </w:r>
    </w:p>
    <w:p>
      <w:r>
        <w:t>- 8 -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précité ; TF 6B_1345/2016 du 30 novembre 2017 consid. 2.1). La qualité d'ayant droit économique ne fonde donc pas un intérêt juridiquement protégé, respectivement la qualité de partie plaignante (TF 6B_1207/2013 du 14 mai 2014 consid. 3.1.1 et 3.1.2 et les arrêts cités).</w:t>
      </w:r>
    </w:p>
    <w:p>
      <w:r>
        <w:rPr>
          <w:b/>
        </w:rPr>
        <w:t>E. 2.2.3</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7B_587/2023 précité). 12J010</w:t>
      </w:r>
    </w:p>
    <w:p>
      <w:r>
        <w:t>- 9 -</w:t>
      </w:r>
    </w:p>
    <w:p>
      <w:r>
        <w:rPr>
          <w:b/>
        </w:rPr>
        <w:t>E. 2.2.4</w:t>
      </w:r>
    </w:p>
    <w:p>
      <w:r>
        <w:t>Conformément à l’art. 137 ch. 1 CP, se rend coupable d’appropriation illégitime quiconque, pour se procurer ou procurer à un tiers un enrichissement illégitime, s’approprie une chose mobilière appartenant à autrui et ne réalise par les conditions prévues aux art. 138 à 140 CP.</w:t>
      </w:r>
    </w:p>
    <w:p>
      <w:r>
        <w:rPr>
          <w:b/>
        </w:rPr>
        <w:t>E. 2.2.5</w:t>
      </w:r>
    </w:p>
    <w:p>
      <w:r>
        <w:t>En application de l’art. 138 ch. 1 CP, se rend coupable d’abus de confiance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w:t>
      </w:r>
    </w:p>
    <w:p>
      <w:r>
        <w:rPr>
          <w:b/>
        </w:rPr>
        <w:t>E. 2.2.6</w:t>
      </w:r>
    </w:p>
    <w:p>
      <w:r>
        <w:t>Aux termes de l’art. 139 ch. 1 CP se rend coupable de vol quiconque, pour se procurer ou procurer à un tiers un enrichissement illégitime, soustrait une chose mobilière appartenant à autrui dans le but de se l’approprier.</w:t>
      </w:r>
    </w:p>
    <w:p>
      <w:r>
        <w:rPr>
          <w:b/>
        </w:rPr>
        <w:t>E. 2.2.7</w:t>
      </w:r>
    </w:p>
    <w:p>
      <w:r>
        <w:t>Selon l’art. 141 CP, se rend coupable de soustraction d’une chose mobilière quiconque, sans dessein d’appropriation, soustrait une chose mobilière à l’ayant droit et lui cause par là un préjudice considérable.</w:t>
      </w:r>
    </w:p>
    <w:p>
      <w:r>
        <w:rPr>
          <w:b/>
        </w:rPr>
        <w:t>E. 2.3.1</w:t>
      </w:r>
    </w:p>
    <w:p>
      <w:r>
        <w:t>En l’espèce, le recours en tant qu’il est dirigé contre l’ordonnance de non-entrée en matière s’agissant des chefs de prévention de gestion déloyale (art. 158 CP) et de banqueroute frauduleuse (art. 163 CP), en lien avec la gestion du garage du prévenu, est irrecevable. En effet, la motivation du recours est insuffisante, dès lors qu’elle consiste uniquement en quelques appréciations générales (p. 6). Sur ce point, le recourant n’allègue aucun fait précis et se contente de relever que la présente affaire ne s’inscrirait pas dans un simple différend commercial isolé, mais dans un schéma global de défaillance économique « potentiellement frauduleuse, caractéristique de plusieurs infractions patrimoniales graves ». Il précise en outre que le prévenu aurait lui-même reconnu, lors de son audition du 25 juin 2025, avoir déjà été condamné dans une affaire « similaire » il y a environ huit ans et que le contexte de la 12J010</w:t>
      </w:r>
    </w:p>
    <w:p>
      <w:r>
        <w:t>- 10 - présente cause (rétention abusive d’un bien de valeur, usage non autorisé et absence de restitution) justifierait l’ouverture d’une instruction. Toutefois, à défaut d’allégation d’indices concrets portant précisément sur la gestion de la société du prévenu ou sur la procédure ayant conduit à sa faillite, le recours ne respecte pas les exigences de motivation de l’art. 385 al. 1 CPP et il est irrecevable sur ce point. Par surabondance, on peut relever, s’agissant plus particulièrement de l’infraction de gestion déloyale, que les actes de gestion déloyale reprochés par le recourant au prévenu constitueraient des atteintes aux biens patrimoniaux de la société B.________, qui, en sa qualité de personne morale, est la seule lésée. Le recourant ne pourrait être, le cas échéant, qu’indirectement touché par ces agissements, de sorte que la qualité pour recourir doit lui être déniée, celui- ci n’ayant pas d’intérêt juridiquement protégé à l’annulation ou à la modification de l’ordonnance de non-entrée en matière au sens de l'art. 382 al. 1 CPP en tant qu’elle porte sur l’infraction de gestion déloyale. Le recours ne comporte du reste aucun élément précis à cet égard, le recourant n’établissant pas qu’il dispose d’un intérêt juridiquement protégé.</w:t>
      </w:r>
    </w:p>
    <w:p>
      <w:r>
        <w:rPr>
          <w:b/>
        </w:rPr>
        <w:t>E. 2.3.2</w:t>
      </w:r>
    </w:p>
    <w:p>
      <w:r>
        <w:t>Pour ce qui est ensuite du recours en tant qu’il est dirigé contre l’ordonnance de non-entrée en matière s’agissant des chefs de prévention d’appropriation illégitime (art. 137 CP), d’abus de confiance (art. 138 CP), de vol (art. 139 CP) ou de soustraction d’une chose mobilière (art. 141 CP), on peut relever les éléments suivants. Le recourant n’est pas très clair sur les accords qu’il aurait passés avec le prévenu et sur le déroulement chronologique des faits. En outre, il se réfère aux messages et autres écrits produits, mais la plupart de ces renvois ne précisent pas exactement le numéro de la pièce, ce qui contrevient aux exigences posées par l’art. 385 al. 1 CP. Les allégations du recourant sont également lacunaires s’agissant du sort du véhicule et des tentatives de restitution du prévenu. Par ailleurs, il apparaît que le véhicule en question faisait l’objet d’un leasing et qu’il n’appartenait donc pas juridiquement au recourant. On peut donc se demander comment celui-ci pouvait entreprendre des démarches en vue de le vendre, alors qu’on ne dispose d’aucune pièce de la société de leasing à cet égard. Cela étant, il apparaît bien que le prévenu a largement utilisé le véhicule qui lui avait été confié et la pièce 5/7 est éloquente à cet égard sur 12J010</w:t>
      </w:r>
    </w:p>
    <w:p>
      <w:r>
        <w:t>- 11 - la fréquence de cet usage. Il s’avère d’ailleurs qu’il y a une différence d’environ 8’000 km au compteur durant la période considérée, ce qui pourrait permettre de conclure que le prévenu a bel et bien intégré ce véhicule à son patrimoine. De plus, comme relevé par le recourant, ce n’est qu’en mai 2025, soit après le dépôt de la plainte pénale, que le prévenu a pris des mesures concrètes pour restituer celui-ci au recourant. Il a ainsi mandaté une entreprise, à savoir K.________ SA, pour procéder à cette livraison. On ignore toutefois les raisons précises pour lesquelles cette démarche aurait échoué (cf. pièces produites par le prévenu lors de son audition du 25 juin 2025). Il s’ensuit qu’en l’état du dossier, il n’est pas possible d’affirmer péremptoirement, à l’instar du Ministère public, qu’aucune volonté d’appropriation du véhicule ne peut être retenue à l’égard du prévenu. Au vu de ce qui précède, il ne peut être conclu que les éléments constitutifs d'une infraction contre le patrimoine ne sont manifestement pas réunis. Il y a ainsi lieu de renvoyer le dossier de la cause au Ministère public pour complément d'enquête, afin de clarifier les circonstances de la remise du véhicule au prévenu, ainsi que le comportement précis des parties durant la période litigieuse, restitution du véhicule y comprise.</w:t>
      </w:r>
    </w:p>
    <w:p>
      <w:r>
        <w:rPr>
          <w:b/>
        </w:rPr>
        <w:t>E. 3</w:t>
      </w:r>
    </w:p>
    <w:p>
      <w:r>
        <w:t>En définitive, le recours doit être admis dans la mesure où il est recevable et l’ordonnance entreprise annulée. Le dossier de la cause est renvoyé au Ministère public pour qu’il procède dans le sens des considérants qui précèdent. Vu le sort du recours, les frais de la procédure, constitués en l’espèce du seul émolument d’arrêt, par 1’210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 Le recourant, qui a procédé avec l’assistance d’un conseil de choix et qui a obtenu gain de cause, a droit, à la charge de l’Etat, à une 12J010</w:t>
      </w:r>
    </w:p>
    <w:p>
      <w:r>
        <w:t>- 12 - indemnité pour les dépenses obligatoires occasionnées par la procédure de recours (art. 433 al. 1 let. a CPP, applicable par renvoi de l’art. 436 al. 1 CPP). Au vu de la liste des opérations produite par Me Cyril Kleger, dont il n’y a pas lieu de s’écarter, c’est une indemnité de 1'855 fr. 55 qui doit être allouée au recourant. Par ces motifs, la Chambre des recours pénale prononce : I. Le recours est admis dans la mesure où il est recevable. II. L’ordonnance du 10 octobre 2025 est annulée. III. Le dossier de la cause est renvoyé au Ministère public de l’arrondissement du Nord vaudois pour qu’il procède dans le sens des considérants. IV. Les frais d’arrêt, par 1’210 fr. (mille deux cent dix francs), sont laissés à la charge de l’Etat. V. Le montant de 770 fr. (sept cent septante francs) versé par C.________ à titre de sûretés lui est restitué. VI. Une indemnité de 1'855 fr. 55 (mille huit cent cinquante-cinq francs et cinquante-cinq centimes) est allouée à C.________ pour la procédure de recours, à la charge de l’Etat. VII. L’arrêt est exécutoire. La présidente : La greffière : 12J010</w:t>
      </w:r>
    </w:p>
    <w:p>
      <w:r>
        <w:t>- 13 - Du Le présent arrêt, dont la rédaction a été approuvée à huis clos, est notifié, par l'envoi d'une copie complète, à : - Me Cyril Kleger, avocat (pour C.________), - Ministère public central, et communiqué à : - M. le Procureur de l’arrondissement du Nord vaudois, - Me Joao Lopes, avocat (pour F.________),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