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PE25.013808 vom 1. Dezember 2025</w:t>
      </w:r>
    </w:p>
    <w:p>
      <w:r>
        <w:t>VD Tribunal cantonal, 2025-12-01, FR</w:t>
      </w:r>
    </w:p>
    <w:p>
      <w:r>
        <w:rPr>
          <w:b/>
        </w:rPr>
        <w:t xml:space="preserve">Quelle: </w:t>
      </w:r>
      <w:r>
        <w:t>https://mcp.opencaselaw.ch/entscheid/vd_gerichte_PE25.013808</w:t>
      </w:r>
    </w:p>
    <w:p>
      <w:r>
        <w:t>FR: VD_GERICHTE PE25.013808 du 1 décembre 2025</w:t>
      </w:r>
    </w:p>
    <w:p>
      <w:r>
        <w:t>IT: VD_GERICHTE PE25.013808 del 1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par la plaignante dans le délai légal, auprès de l’autorité compétente et dans les formes prescrites (art. 385 al. 1 CPP), de sorte qu’il est recevable.</w:t>
      </w:r>
    </w:p>
    <w:p>
      <w:r>
        <w:rPr>
          <w:b/>
        </w:rPr>
        <w:t>E. 2.1</w:t>
      </w:r>
    </w:p>
    <w:p>
      <w:r>
        <w:t>La recourante soutient que l’existence d’un préjudice n’est pas un élément constitutif objectif ou subjectif de l’infraction de faux dans les titres, dès lors qu’il s’agit d’un délit formel, qui ne suppose pas la survenance d’un résultat. Le dessein spécial serait celui de se procureur ou de procurer à un tiers un avantage illicite. Or, la signature falsifiée sur le bon de livraison correspondrait à la définition d’un « avantage illicite ». En effet, la situation probatoire de l’entreprise de livraison serait manifestement améliorée en cas de dommage à la marchandise et permettrait aux livreurs de gagner du temps. Les marchandises laissées sans surveillance dans les couloirs de l’A.________, locaux ouverts au public, par un livreur seraient exposées à des risques de dommage et de vol, et ce de manière accrue en cas de livraison à la mauvaise adresse, comme cela a été le cas dans deux des trois situations décrites dans la plainte. En pareil cas, l’A.________ pourrait se trouver en difficulté de prouver la réception 12J010</w:t>
      </w:r>
    </w:p>
    <w:p>
      <w:r>
        <w:t>- 4 - adéquate des livraisons, l’entreprise pouvant alors lui opposer le bon de livraison falsifié en affirmant qu’un de ses collaborateurs a réceptionné la marchandise. En outre, ce genre de pratique permettrait à l’évidence à l’entreprise de gagner du temps lors des livraisons, les livreurs ne devant pas attendre la personne idoine pour faire signer le bon de livraison.</w:t>
      </w:r>
    </w:p>
    <w:p>
      <w:r>
        <w:rPr>
          <w:b/>
        </w:rPr>
        <w:t>E. 2.2.1</w:t>
      </w:r>
    </w:p>
    <w:p>
      <w:r>
        <w:t>; ATF 138 IV 86 précité consid. 4.1.2 ; ATF 137 IV 285 consid. 2.3 et les réf. cit., JdT 2012 IV 160).</w:t>
      </w:r>
    </w:p>
    <w:p>
      <w:r>
        <w:rPr>
          <w:b/>
        </w:rPr>
        <w:t>E. 2.2.2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du 24 mai 2024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Un courriel imprimé et produit dans le cadre d’une procédure judiciaire peut constituer un titre au sens des art. 110 al. 4 et 251 CP (cf. ATF 138 IV 209 consid. 5.4).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12J010</w:t>
      </w:r>
    </w:p>
    <w:p>
      <w:r>
        <w:t>- 6 - dessein spécial, à savoir que l'auteur agisse afin de porter atteinte aux intérêts pécuniaires ou aux droits d'autrui ou de se procurer ou de procurer à un tiers un avantage illicite (ATF 141 IV 369 consid. 7.4 ; ATF 138 IV 130 consid 3.2.4 ; TF 6B_52/2022 du 16 mars 2023 consid. 4.1.3). Le dessein spécial est également réalisé si l’auteur agit dans l’intention de procurer un avantage illicite pour soi-même ou pour autrui. L’avantage est une notion très large ; il peut être patrimonial ou d’une autre nature. Toute amélioration de la situation suffit. Il n’est pas nécessaire que cette amélioration entraîne, par contrecoup, un désavantage pour soi- même ou pour un tiers. Lorsque l’auteur agit pour favoriser un tiers, il n’est pas nécessaire qu’il sache en quoi consiste exactement l’avantage que ce dernier escompte en retirer. Peu importe que le faux ne soit peut-être pas nécessaire pour bénéficier de l’avantage en question, du moment que son usage est de nature à en favoriser l’avènement. Ont notamment été jugés constitutifs d’un avantage, l’exercice plus difficile de droits contractuels (TF 6B_1406/2022 du 14 mars 2023 consid. 2), le gain de temps (AppGer BS du</w:t>
      </w:r>
    </w:p>
    <w:p>
      <w:r>
        <w:rPr>
          <w:b/>
        </w:rPr>
        <w:t>E. 2.3</w:t>
      </w:r>
    </w:p>
    <w:p>
      <w:r>
        <w:t>En l’espèce, il n’est pas contesté, ni contestable que, en apposant une signature sur le bulletin de livraison alors que la marchandise était simplement déposée mais pas livrée en mains de son destinataire, la personne a créé un titre faux, même électronique (pour les bulletins de livraison : cf. Trechsel/Erni, in Trechsel/Pieth/Geth [éd.], Schweizeriches Strafgesetzbuch, Praxiskommentar, 5e éd. 2025, n. 23 Vor Art. 251 StGB, p. 1455 et ATF 116 IV 51). En outre, dès lors que, comme allégué par la recourante, le gain de temps constitue un avantage illicite, de même que l’économie de coûts ou de fastidieuses démarches (cf. Kinzer, op. cit., n. 128 ad art. 251 CP, p. 1458 et notamment les références à l’ATF 128 IV 265 consid. 2.2 et ATF 137 IV 167 consid. 2.4), il est manifeste que le comportement consistant, pour un livreur devant atteindre un endroit et une personne précise au sein de l’A.________, à signer lui-même les documents établissant le principe et la date de la remise de la marchandise à son destinataire réalise la condition du dessein d’avantage illicite. De plus, comme ce dernier peut aussi être réalisé en cas d’exercice plus difficile de droits contractuels – notamment une action en garantie des défauts (Kinzer, op. et loc. cit., p. 1457 et les références à TF 6B_1406/2022 du 14 mars 2023 consid. 2 et TF 6B_243/2014 du 15 juillet 2014 consid. 4.4) –, il est également patent qu’en signant les documents litigieux, le livreur améliorait potentiellement la situation de son employeur puisqu’il attestait lui-même que sa prestation contractuelle avait été remplie. C’est donc à tort que le Ministère public n’est pas entré en matière sur la plainte déposée par la recourante au motif que certains des éléments constitutifs de l’infraction de faux dans les titres n’étaient pas réunis. 3. En définitive, le recours doit être admis et le dossier de la cause renvoyé au Ministère public de l’arrondissement de Lausanne pour qu’il ouvre une instruction pour les faits dénoncés par la recourante dans sa plainte, étant précisé que, dès lors que C.________ n’a pas recouru contre l’ordonnance de non-entrée en matière, les faits relatifs à sa plainte ne sont pas couverts par l’annulation et le renvoi. Vu le sort du recours, les frais de la procédure, constitués du seul émolument d’arrêt, par 880 fr. (art. 20 al. 1 TFIP), seront laissés à la 12J010</w:t>
      </w:r>
    </w:p>
    <w:p>
      <w:r>
        <w:t>- 8 - charge de l’Etat (art. 428 al. 4 CPP). Le montant de 770 fr. déjà versé par la recourante à titre de sûretés lui sera restitué (art. 383 al. 1 CPP ; art. 7 TFIP). La recourante a pris des conclusions « avec suite de frais et dépens » mais ne précise pas ses prétentions, ni n’a procédé par l’intermédiaire d’un mandataire professionnel. Aucune indemnité ne lui sera donc allouée (art. 436 al. 1 CPP). Par ces motifs, la Chambre des recours pénale prononce : I. Le recours est admis. II. L’ordonnance du 9 juillet 2025 est annulée en tant qu’elle concerne la plainte déposée par l’A.________. Elle est maintenue pour le surplus. III. Il n’est pas alloué d’indemnité à l’A.________ pour la procédure de recours. IV. Les frais d’arrêt, par 880 fr. (huit cent huitante francs), sont laissés à la charge de l’Etat. V. Le montant de 770 fr. (sept cent septante francs) versé par l’A.________ à titre de sûretés lui est restitué. VI. L’arrêt est exécutoire. Le président : Le greffier : 12J010</w:t>
      </w:r>
    </w:p>
    <w:p>
      <w:r>
        <w:t>- 9 - Du Le présent arrêt, dont la rédaction a été approuvée à huis clos, est notifié, par l'envoi d'une copie complète, à : - M. G.________, pour l’A.________,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r>
        <w:rPr>
          <w:b/>
        </w:rPr>
        <w:t>E. 7</w:t>
      </w:r>
    </w:p>
    <w:p>
      <w:r>
        <w:t>février 1990, BJM 1992 326 consid. 2b), l’économie de coûts (ATF 137 IV 167 consid. 2.4) ou de fastidieuses démarches administratives (ATF 128 IV 265 consid. 2.2). L’intention doit viser un avantage « illicite ». Il n’est pas nécessaire que l’acquisition de l’avantage soit punissable en tant que tel. Il suffit d’un avantage contraire au droit, le cas échéant étranger, voire d’un avantage auquel l’auteur n’a pas le droit. Il s’agit ainsi de tous les cas où l’auteur espère améliorer sa situation au-delà de ce que lui reconnaît le droit matériel. Le Tribunal fédéral va plus loin encore et considère que l’amélioration de la situation probatoire par la confection ou l’usage d’un faux constitue en soi déjà un avantage illicite, indépendamment du droit du fond. Un avantage peut être illicite en raison non seulement des buts poursuivis, mais aussi des moyens utilisés. L’auteur ne doit pas nécessairement agir pour lui-même. Pour admettre le dessein spécial, il suffit que l’auteur ait voulu qu’un tiers ait obtenu un avantage illicite (Kinzer, in : Macaluso/Moreillon/Queloz [édit.], Commentaire romand du Code pénal II, 2e éd., Bâle 2025, n. 126-132 ad art. 251 CP). 12J010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