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PE25.013557 vom 20. Oktober 2025</w:t>
      </w:r>
    </w:p>
    <w:p>
      <w:r>
        <w:t>VD Tribunal cantonal, 2025-10-20, FR</w:t>
      </w:r>
    </w:p>
    <w:p>
      <w:r>
        <w:rPr>
          <w:b/>
        </w:rPr>
        <w:t xml:space="preserve">Quelle: </w:t>
      </w:r>
      <w:r>
        <w:t>https://mcp.opencaselaw.ch/entscheid/vd_gerichte_PE25.013557</w:t>
      </w:r>
    </w:p>
    <w:p>
      <w:r>
        <w:t>FR: VD_GERICHTE PE25.013557 du 20 octobre 2025</w:t>
      </w:r>
    </w:p>
    <w:p>
      <w:r>
        <w:t>IT: VD_GERICHTE PE25.013557 del 20 ottobre 2025</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 mis en cause qui a qualité pour recourir contre une décision refusant de lui allouer une indemnité au sens de l’art. 429 CPP, à la suite d’une non-entrée en matière. Il satisfait en outre aux conditions de forme prescrites (art. 385 al. 1 CPP). Le recours de Q.________ est donc recevable.</w:t>
      </w:r>
    </w:p>
    <w:p>
      <w:r>
        <w:t>- 3 -</w:t>
      </w:r>
    </w:p>
    <w:p>
      <w:r>
        <w:rPr>
          <w:b/>
        </w:rPr>
        <w:t>E. 2.1</w:t>
      </w:r>
    </w:p>
    <w:p>
      <w:r>
        <w:t>Le recourant invoque une violation de son droit d'être entendu. Il reproche en substance au Ministère public de ne pas l'avoir interpellé afin qu'il puisse chiffrer et justifier ses prétentions en indemnisation au sens de l'art. 429 CPP.</w:t>
      </w:r>
    </w:p>
    <w:p>
      <w:r>
        <w:rPr>
          <w:b/>
        </w:rPr>
        <w:t>E. 2.2.1</w:t>
      </w:r>
    </w:p>
    <w:p>
      <w:r>
        <w:t>A teneur de l’art. 429 al. 1 let. a CPP,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 selon l’art. 429 al. 1 CPP entre également en considération dans cette hypothèse (ATF 139 IV 241 consid. 1 ; TF 7B_788/2023, 7B_803/2023 du 12 juin 2025 ; Moreillon/Parein-Reymond, Petit Commentaire, Code de procédure pénale, 3e éd., Bâle 2025, n. 9 ad art. 429 CPP). La non-entrée en matière constitue en effet une forme de « classement d’emblée » qui doit être assimilée à un classement après instruction (cf. art. 310 al. 2 CPP, qui renvoie aux dispositions sur le classement ; Mizel/Rétornaz, in : Jeanneret/Kuhn/Perrier Depeursinge [éd.], Commentaire romand, Code de procédure pénale suisse, 2e éd., Bâle 2019, n. 9 ad art. 429 CPP et la réf. citée). De même, la qualité de prévenu, et donc les droits qui en découlent, ne dépend pas de l’ouverture d’une instruction pénale, mais peut déjà résulter de l’existence d’une plainte ou d’une dénonciation (cf. art. 111 al. 1 CPP).</w:t>
      </w:r>
    </w:p>
    <w:p>
      <w:r>
        <w:rPr>
          <w:b/>
        </w:rPr>
        <w:t>E. 2.2.2</w:t>
      </w:r>
    </w:p>
    <w:p>
      <w:r>
        <w:t>Selon l’art. 429 al. 2 CPP, l’autorité pénale examine d’office les prétentions du prévenu. Il résulte de cette disposition que l’autorité pénale doit, à tout le moins, interpeller le prévenu sur cette question et, comme le prévoit la loi, l’enjoindre au besoin de chiffrer et justifier ses prétentions en indemnisation (TF 6B_806/2019 du 9 octobre 2019 consid. 1.2 et les réf. citées). Une indemnisation ne saurait être refusée au motif que le prévenu n’a élevé aucune prétention alors même qu’il n’a pas été</w:t>
      </w:r>
    </w:p>
    <w:p>
      <w:r>
        <w:t>- 4 - interpellé (CREP 28 août 2025/649 consid. 2.2.2; CREP 6 juillet 2020/528 consid. 3.2.2 ; Parein, Le devoir d’interpellation en matière d’indemnisation des frais de défense du prévenu, in : Revue de l’avocat 2014, pp. 443 ss, spéc. p. 446). Il est possible pour le prévenu de renoncer à l’indemnisation, en principe au moyen d’une déclaration expresse (dichiarazione esplicita). Un comportement passif peut également être assimilé à une renonciation, lorsque le prévenu ne réagit pas après avoir été interpellé conformément à l’art. 429 al. 2 CPP (TF 6B_1055/2019 du 17 juillet 2020 consid. 3.5 ; TF 6B_1172/2015 du 8 février 2016 consid. 2.2).</w:t>
      </w:r>
    </w:p>
    <w:p>
      <w:r>
        <w:rPr>
          <w:b/>
        </w:rPr>
        <w:t>E. 2.2.3</w:t>
      </w:r>
    </w:p>
    <w:p>
      <w:r>
        <w:t>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w:t>
      </w:r>
    </w:p>
    <w:p>
      <w:r>
        <w:rPr>
          <w:b/>
        </w:rPr>
        <w:t>E. 2.3</w:t>
      </w:r>
    </w:p>
    <w:p>
      <w:r>
        <w:t>En l’espèce, indépendamment de la question de savoir si le recours à un avocat était justifié – question de fond à laquelle la procureure a certes répondu par la négative, mais sur laquelle il n'y a pas lieu de se prononcer compte tenu du vice procédural qui doit être constaté –, force est de constater qu'il ne ressort pas du dossier que le Ministère</w:t>
      </w:r>
    </w:p>
    <w:p>
      <w:r>
        <w:t>- 5 - public aurait interpellé le recourant afin, le cas échéant, qu'il chiffre et justifie ses prétentions en indemnisation au sens de l'art. 429 CPP. Or, conformément à la jurisprudence constante rendue en la matière, ce vice ne peut pas être guéri en seconde instance. Afin de garantir le principe de la double instance et le droit d’être entendu du recourant, il convient de renvoyer la cause au Ministère public, à qui il incombera de fixer au recourant un délai pour chiffrer et justifier ses prétentions, avant de statuer à nouveau sur la question.</w:t>
      </w:r>
    </w:p>
    <w:p>
      <w:r>
        <w:rPr>
          <w:b/>
        </w:rPr>
        <w:t>E. 3</w:t>
      </w:r>
    </w:p>
    <w:p>
      <w:r>
        <w:t>Il résulte de ce qui précède que le recours doit être admis, le chiffre II du dispositif de l’ordonnance attaquée annulé et le dossier de la cause renvoyé au Ministère public pour qu’il procède dans le sens des considérants. Vu le sort du recours, les frais de la procédure, constitués en l’espèce de l’émolument d’arrêt, par 660 fr. (art. 20 al. 1 TFIP [tarif des frais de procédure et indemnités en matière pénale du 28 septembre 2010 ; BLV 312.03.1]), seront laissés à la charge de l’Etat (art. 428 al. 4 CPP). Le recourant, qui a obtenu gain de cause et procédé avec l’assistance d’un avocat, a droit à une indemnité pour les dépenses occasionnées par la procédure de recours (art. 429 al. 1 let. a CPP par renvoi de l’art. 436 al. 1 CPP). Le défenseur du recourant a produit une liste d'opérations faisant état de 4,5 heures d’activité au tarif horaire de 350 francs. Ce tarif horaire est excessif, quand bien même l'avocat a déjà été qualifié d'expérimenté par la Chambre des recours pénale. Bien plutôt, y a-t-il lieu de constater que la contestation portée en l'espèce devant l'autorité de céans ne présente aucune complexité, de sorte que le tarif horaire doit être arrêté à 300 fr. (cf. art. 26a al. 3 TFIP – TF 7B_35/2022 du 22 février 2024, JdT 2024 III 61). Ainsi, l’indemnité allouée sera fixée à 1'350 fr., correspondant à 4.5 heures d’activité d’avocat breveté au tarif horaire de 300 fr., montant auquel il convient d’ajouter des débours forfaitaires à concurrence de 2% (art. 3bis al. 1 RAJ [règlement du 7 décembre 2010 sur l'assistance</w:t>
      </w:r>
    </w:p>
    <w:p>
      <w:r>
        <w:t>- 6 - judiciaire en matière civile ; BLV 211.02.3], applicable par renvoi de l’art. 26b TFIP) des honoraires, par 27 fr., plus la TVA au taux de 8,1 % sur le tout, par 111 fr. 53, soit 1'489 fr. au total en chiffres arrondis. Par ces motifs, la Chambre des recours pénale prononce : I. Le recours est admis. II. Le chiffre II du dispositif de l’ordonnance du 18 juillet 2025 est annulé. L’ordonnance est maintenue pour le surplus. III. Le dossier de la cause est renvoyé au Ministère public de l’arrondissement de l'Est vaudois pour qu’il procède dans le sens des considérants. IV. Les frais d’arrêt, par 660 fr. (six cent soixante francs), sont laissés à la charge de l’Etat. V. Une indemnité de 1'489 fr. (mille quatre cent huitante-neuf francs) est allouée à Q.________ pour les dépenses occasionnées par la procédure de recours, à la charge de l’Etat. VI. L’arrêt est exécutoire. Le président : Le greffier :</w:t>
      </w:r>
    </w:p>
    <w:p>
      <w:r>
        <w:t>- 7 - Du Le présent arrêt, dont la rédaction a été approuvée à huis clos, est notifié, par l'envoi d'une copie complète, à : - Me Tony Donnet-Monay, avoat (pour Q.________), - Ministère public central, et communiqué à : - Mme la Procureure de l'arrondissement de l'Est vaudois,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