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PE25.012967 vom 30. Dezember 2025</w:t>
      </w:r>
    </w:p>
    <w:p>
      <w:r>
        <w:t>VD Tribunal cantonal, 2025-12-30, FR</w:t>
      </w:r>
    </w:p>
    <w:p>
      <w:r>
        <w:rPr>
          <w:b/>
        </w:rPr>
        <w:t xml:space="preserve">Quelle: </w:t>
      </w:r>
      <w:r>
        <w:t>https://mcp.opencaselaw.ch/entscheid/vd_gerichte_PE25.012967</w:t>
      </w:r>
    </w:p>
    <w:p>
      <w:r>
        <w:t>FR: VD_GERICHTE PE25.012967 du 30 décembre 2025</w:t>
      </w:r>
    </w:p>
    <w:p>
      <w:r>
        <w:t>IT: VD_GERICHTE PE25.012967 del 30 dicembre 2025</w:t>
      </w:r>
    </w:p>
    <w:p>
      <w:pPr>
        <w:pStyle w:val="Heading2"/>
      </w:pPr>
      <w:r>
        <w:t>Erwägungen</w:t>
      </w:r>
    </w:p>
    <w:p>
      <w:r>
        <w:rPr>
          <w:b/>
        </w:rPr>
        <w:t>E. 1</w:t>
      </w:r>
    </w:p>
    <w:p>
      <w:r>
        <w:t>CPP ; TF 7B_11/2024 du 27 juin 2025 consid. 3.2 ; TF 7B_51/2024 du 25 avril 2024 consid. 2.2.2 ; TF 6B_1447/2022 précité).</w:t>
      </w:r>
    </w:p>
    <w:p>
      <w:r>
        <w:rPr>
          <w:b/>
        </w:rPr>
        <w:t>E. 1.1</w:t>
      </w:r>
    </w:p>
    <w:p>
      <w:r>
        <w:t>Aux termes de l’art. 393 al. 1 let. c CPP (Code de procédure pénale suisse du 5 octobre 2007 ; RS 312.0), le recours est recevable contre les décisions du tribunal des mesures de contrainte, pour autant que le présent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auprès de l’autorité compétente et dans les formes prescrites, par le prévenu qui a qualité pour recourir (art. 382 al. 1 CPP).</w:t>
      </w:r>
    </w:p>
    <w:p>
      <w:r>
        <w:rPr>
          <w:b/>
        </w:rPr>
        <w:t>E. 2</w:t>
      </w:r>
    </w:p>
    <w:p>
      <w:r>
        <w:t>Le recourant, qui a partiellement reconnu les faits et est mis en cause par G.________ (cf. PV d’audition n° 8 et 9), ne conteste pas, à juste titre, l’existence de soupçons suffisants de la commission des infractions qui lui sont reprochées par le Ministère public. Il soutient en revanche qu’il n’existerait pas de risques de fuite, de collusion et de réitération. Il requiert en outre le prononcé de mesures de substitution, à forme d’une obligation de se présenter hebdomadairement à un poste de police et du port d’un bracelet électronique. En l’espèce, l’ordonnance entreprise retient uniquement l’existence des risques de collusion et de réitération. Ces motifs de détention sont alternatifs. Ainsi, la détention demeure justifiée dès lors que l’un d’eux est réalisé. Partant, une libération ne peut être envisagée que si aucun des motifs retenus n’est fondé (cf. TF 7B_580/2025 du 21 juillet 2025 consid. 3.2). Il s’ensuit que, pour obtenir la réforme de l’ordonnance attaquée, le recourant doit démontrer, ou à tout le moins essayer de démontrer, que l’appréciation du Tribunal des mesures de contrainte est erronée sur chacun des risques retenus. Or, s’agissant du risque de réitération, il se limite à indiquer « qu’[il] est tombé dans un piège tendu par des agents de police infiltrés », sans discuter de manière circonstanciée les considérants que le Tribunal des mesures de contrainte a consacrés à la démonstration de l’existence du risque de réitération. Quant aux mesures de substitution, il se borne à affirmer qu’elles seraient aptes à éviter sa 12J010</w:t>
      </w:r>
    </w:p>
    <w:p>
      <w:r>
        <w:t>- 8 - « disparition » (et donc à pallier un risque de fuite non retenu par le premier juge), sans expliquer en quoi elles permettraient de parer les risques de collusion et de réitération. Dans ces conditions, force est de constater que le recourant ne formule aucune critique argumentée quant à l’existence du risque de réitération, pas plus qu’à l’égard du constat selon lequel les mesures de substitution proposées seraient impropres à prévenir ce risque, ce qui suffit à sceller le sort de la cause. Partant, le recours ne satisfait pas aux exigences de motivation posées par l’art. 385 al. 1 CPP. Un tel vice n’est pas réparable au regard de l’art. 385 al. 2 CPP, ce d’autant moins que le défaut de motivation émane d’un recourant assisté d’un avocat, lequel est censé connaître les exigences de forme. Le recours est dès lors irrecevable.</w:t>
      </w:r>
    </w:p>
    <w:p>
      <w:r>
        <w:rPr>
          <w:b/>
        </w:rPr>
        <w:t>E. 3</w:t>
      </w:r>
    </w:p>
    <w:p>
      <w:r>
        <w:t>Au vu de ce qui précède, le recours doit être déclaré irrecevable sans échange d’écritures (art. 390 al. 2 CPP). La désignation d’un défenseur d’office pour la procédure pénale principale n’est pas un blanc-seing pour introduire des recours aux frais de l’Etat, notamment contre des décisions de détention provisoire (cf. ATF 139 I 206 consid. 3.3.1 ; TF 7B_198/2024 du 9 avril 2024 consid. 4.2). En l’occurrence, il appartenait au recourant de développer une argumentation, même brève, permettant de comprendre en quoi son recours était susceptible d’aboutir, ce qu’il n’a pas fait. On observera pour le surplus qu'en l'espèce, comme l'a relevé le Tribunal des mesures de contrainte, l'existence du risque de réitération, à tout le moins qualifié, apparaît évidente au vu des antécédents suisses et français du recourant, et d’une possible récidive durant le délai d’épreuve assortissant sa libération conditionnelle. Dans ces circonstances, le recours étant insuffisamment motivé et dénué de chances de succès, l’intervention du défenseur d’office dans la procédure de recours ne saurait être mise à la charge de l’État, de sorte qu’aucune indemnité ne lui sera allouée. Les frais de la procédure de recours, constitués du seul émolument d’arrêt (art. 422 al. 1 CPP), par 880 fr. (art. 20 al. 1 TFIP [tarif 12J010</w:t>
      </w:r>
    </w:p>
    <w:p>
      <w:r>
        <w:t>- 9 - des frais de procédure et indemnités en matière pénale du 28 septembre 2010 ; BLV 312.03.1]), seront mis à la charge de B.________, qui succombe (art. 428 al. 1 CPP). Par ces motifs, la Chambre des recours pénale prononce : I. Le recours est irrecevable. II. Il n’est pas alloué d’indemnité d’office à Me Laurent Schuler pour la procédure de recours. III. Les frais d’arrêt, par 880 fr. (huit cent huitante francs), sont mis à la charge de B.________. IV. L’arrêt est exécutoire. Le président : Le greffier : Du Le présent arrêt, dont la rédaction a été approuvée à huis clos, est notifié, par l'envoi d'une copie complète, à : - Me Laurent Schuler, avocat (pour B.________), - Ministère public central, et communiqué à : - M. le Président du Tribunal des mesures de contrainte, - Mme la Procureure cantonale Strada, par l’envoi de photocopies. 12J010</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