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PE25.012799 vom 23. Februar 2026</w:t>
      </w:r>
    </w:p>
    <w:p>
      <w:r>
        <w:t>VD Tribunal cantonal, 2026-02-23, FR</w:t>
      </w:r>
    </w:p>
    <w:p>
      <w:r>
        <w:rPr>
          <w:b/>
        </w:rPr>
        <w:t xml:space="preserve">Quelle: </w:t>
      </w:r>
      <w:r>
        <w:t>https://mcp.opencaselaw.ch/entscheid/vd_gerichte_PE25.012799</w:t>
      </w:r>
    </w:p>
    <w:p>
      <w:r>
        <w:t>FR: VD_GERICHTE PE25.012799 du 23 février 2026</w:t>
      </w:r>
    </w:p>
    <w:p>
      <w:r>
        <w:t>IT: VD_GERICHTE PE25.012799 del 23 febbraio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 12J010</w:t>
      </w:r>
    </w:p>
    <w:p>
      <w:r>
        <w:t>- 4 -</w:t>
      </w:r>
    </w:p>
    <w:p>
      <w:r>
        <w:rPr>
          <w:b/>
        </w:rPr>
        <w:t>E. 1.2</w:t>
      </w:r>
    </w:p>
    <w:p>
      <w:r>
        <w:t>En l’espèce, interjeté devant l’autorité compétente et dans les formes prescrites, par la partie plaignante qui a qualité pour recourir (art. 382 al. 1 CPP), le recours est recevable.</w:t>
      </w:r>
    </w:p>
    <w:p>
      <w:r>
        <w:rPr>
          <w:b/>
        </w:rPr>
        <w:t>E. 2</w:t>
      </w:r>
    </w:p>
    <w:p>
      <w:r>
        <w:t>Le recourant soutient qu’il existerait des indices suffisants de la commission d’une infraction, à plusieurs égards. En premier lieu, il serait invraisemblable qu’il ait déposé plainte contre une personne qu’il ne connaissait pas s’il ne s’était rien passé. Ensuite, il serait établi qu’il existerait un litige entre son oncle et C.________, qui ferait d’ailleurs l’objet d’une plainte pénale, de sorte qu’il serait difficile de donner du crédit à la version des faits du mis en cause. Au contraire, le fait que ce dernier ait reconnu s’être introduit illégitimement dans leur immeuble et avoir pris une photographie de leur boîte aux lettres rendrait crédible la version du recourant. Celui-ci propose l’audition de son oncle, auquel il se serait confié après les faits, et qui permettrait d’apporter des éléments pertinents pour l’enquête. Dans ce contexte, les seules dénégations de C.________ seraient insuffisantes pour justifier qu’il soit renoncé à l’ouverture d’une instruction. En vertu de la maxime de l’instruction, il aurait incombé au Ministère public, en présence de déclarations contradictoires, de procéder à des investigations complémentaires.</w:t>
      </w:r>
    </w:p>
    <w:p>
      <w:r>
        <w:rPr>
          <w:b/>
        </w:rPr>
        <w:t>E. 2.1.1</w:t>
      </w:r>
    </w:p>
    <w:p>
      <w:r>
        <w:t>Aux termes de l’art. 309 al. 1 let. a CPP, le Ministère public ouvre une instruction lorsqu’il ressort du rapport de police, des dénonciations ou de ses propres constatations des soupçons suffisants laissant présumer qu’une infraction a été commise. 12J010</w:t>
      </w:r>
    </w:p>
    <w:p>
      <w:r>
        <w:t>- 5 -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précité consid. 4.1.2 ; ATF 137 IV 285 consid. 2.3 et les références citées, JdT 2012 IV 160).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 TF 7B_107/2023 précité ; TF 6B_993/2021 du 21 février 2022 consid. 2.1 et les arrêts cités). 12J010</w:t>
      </w:r>
    </w:p>
    <w:p>
      <w:r>
        <w:t>- 6 -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7B_107/2023 précité ; TF 6B_993/2021 précité). Suivant les circonstances, les mêmes motifs peuvent aussi permettre, en particulier si la crédibilité de la partie plaignante est d'emblée remise en question par des éléments manifestement probants, de rendre une décision de non-entrée en matière (TF 6B_993/2021 précité).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(art. 139 al. 2 CPP ; TF 7B_107/2023 du 20 novembre 2024 consid. 2.1.4 et les références citées).</w:t>
      </w:r>
    </w:p>
    <w:p>
      <w:r>
        <w:rPr>
          <w:b/>
        </w:rPr>
        <w:t>E. 2.2</w:t>
      </w:r>
    </w:p>
    <w:p>
      <w:r>
        <w:t>En l’espèce, les déclarations concordantes des parties établissent que, le jour des faits dénoncés, C.________ a pénétré de manière 12J010</w:t>
      </w:r>
    </w:p>
    <w:p>
      <w:r>
        <w:t>- 7 - illicite dans l’immeuble de B.________, celui-ci ayant admis lors de son audition qu’il avait profité de l’entrée d’une personne qu’il ne connaissait pas pour y pénétrer. En outre, il a déclaré vouloir simplement vérifier que l’oncle du plaignant habitait toujours à cette adresse, mais la question se pose alors de savoir pourquoi il aurait également photographié leur boîte aux lettres, ce qu’il a également reconnu avoir fait. Certes, le mis en cause a prétendu qu’il lui aurait été impossible d’agresser le plaignant car il s’était déchiré la capsule de l’épaule gauche en septembre 2024, et a produit des certificats médicaux émanant d’un médecin spécialiste en chirurgie orthopédique et traumatologie faisant état d’une incapacité travail du 27 septembre 2024 au 21 juin 2025. Cela n’est toutefois pas déterminant car, en l’état, cela n’atteste pas d’un empêchement concret d’agresser le plaignant le 8 avril 2025 ou de le menacer avec un couteau. De surcroît, tandis que C.________ soutient n’avoir pas pu frapper le plaignant en raison de cette blessure à l’épaule gauche, B.________ a déclaré que son agresseur l’avait frappé au moyen de sa main droite. Cette question peut quoi qu’il en soit être éclaircie par des informations complémentaires du médecin. Il conviendrait également d’obtenir des renseignements concernant la procédure pénale évoquée par les parties et qui opposerait C.________ à l’oncle du plaignant. Le dossier de cette affaire est en effet susceptible d’amener un éclairage sur les rapports entre D.________ et C.________, d’une part, et sur la personnalité du second nommé et son éventuelle propension à la violence, d’autre part. Il pourrait également être utile de recueillir d’éventuelles pièces sur les arriérés de paiement invoqués par le plaignant et qui résulteraient de vols de certaines lettres, respectivement de procéder à l’audition de D.________. En définitive, dans la mesure où diverses mesures d’instruction apparaissent envisageables afin d’élucider les faits et les différentes infractions que ceux-ci sont susceptibles de constituer (voies de fait, violation de domicile, vol, dommages à la propriété, violation de secrets privés, injure et menaces), un refus d’entrer en matière est prématuré, avant des mesures d’instruction complémentaires. 12J010</w:t>
      </w:r>
    </w:p>
    <w:p>
      <w:r>
        <w:t>- 8 -</w:t>
      </w:r>
    </w:p>
    <w:p>
      <w:r>
        <w:rPr>
          <w:b/>
        </w:rPr>
        <w:t>E. 4</w:t>
      </w:r>
    </w:p>
    <w:p>
      <w:r>
        <w:t>Au vu de ce qui précède, le recours doit être admis, l’ordonnance du 25 juin 2025 annulée et le dossier de la cause renvoyé au Ministère public de l’arrondissement de Lausanne pour qu’il procède dans le sens des considérants qui précèdent. Les frais de la procédure de recours, constitués du seul émolument d’arrêt (art. 422 al. 1 CPP), par 880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la charge de l’Etat, à une indemnité pour les dépenses obligatoires occasionnées par la procédure de recours (art. 429 al. 1 let. a CPP). Au vu de la nature de l’affaire et du mémoire de recours déposé, il sera retenu une activité nécessaire d’avocat de 3 heures au tarif usuel, à savoir 300 fr. (art. 26a al. 3 TFIP ; TF 7B_35/2022, Jdt 2024 III 61), soit une indemnité de 900 francs. A ce montant, il convient d’ajouter des débours forfaitaires à concurrence de 2 % des honoraires admis (art. 19 al. 2 TDC [tarif des dépens en matière civile du 23 novembre 2010 ; BLV 270.11.6], applicable par renvoi de l’art. 26a al.</w:t>
      </w:r>
    </w:p>
    <w:p>
      <w:r>
        <w:rPr>
          <w:b/>
        </w:rPr>
        <w:t>E. 6</w:t>
      </w:r>
    </w:p>
    <w:p>
      <w:r>
        <w:t>TFIP), par 18 fr., et la TVA au taux de 8,1 % sur le tout, par 74 fr. 25. C’est ainsi une indemnité totale de 993 fr. en chiffres arrondis qui sera allouée au recourant. Dès lors que les frais de procédure sont entièrement laissés à la charge de l’Etat et qu’une indemnité est allouée au recourant pour les dépenses occasionnées par la procédure de recours, la requête d’assistance judiciaire gratuite et de désignation d’un conseil juridique gratuit est sans objet. L’autorité de recours n’est par ailleurs pas compétente à ce stade pour se prononcer sur l’octroi de l’assistance judiciaire dans le cadre de la procédure préliminaire, aucune décision n’ayant été rendue sur ce point par le Ministère public. 12J010</w:t>
      </w:r>
    </w:p>
    <w:p>
      <w:r>
        <w:t>- 9 - Par ces motifs, la Chambre des recours pénale prononce : I. Le recours est admis. II. L’ordonnance du 25 juin 2025 est annulée. III. Le dossier de la cause est renvoyé au Ministère public de l’arrondissement de Lausanne pour qu’il procède dans le sens des considérants. IV. Les frais d’arrêt, par 880 fr. (huit cent huitante francs), sont laissés à la charge de l’Etat. V. Une indemnité de 993 fr. (neuf cent nonante-trois francs) est allouée à B.________ pour la procédure de recours, à la charge de l’Etat. VI. La requête d’assistance judiciaire gratuite et de désignation d’un conseil juridique gratuit pour la procédure de recours est sans objet. VII. L’arrêt est exécutoire. La présidente : Le greffier : 12J010</w:t>
      </w:r>
    </w:p>
    <w:p>
      <w:r>
        <w:t>- 10 - Du Le présent arrêt, dont la rédaction a été approuvée à huis clos, est notifié, par l'envoi d'une copie complète, à : - Me Zakia Arnouni, avocate (pour B.________), - Ministère public central, et communiqué à : - M. le Procureur de l’arrondissement de Lausanne,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