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PE25.012627 vom 6. August 2025</w:t>
      </w:r>
    </w:p>
    <w:p>
      <w:r>
        <w:t>VD Tribunal cantonal, 2025-08-06, FR</w:t>
      </w:r>
    </w:p>
    <w:p>
      <w:r>
        <w:rPr>
          <w:b/>
        </w:rPr>
        <w:t xml:space="preserve">Quelle: </w:t>
      </w:r>
      <w:r>
        <w:t>https://mcp.opencaselaw.ch/entscheid/vd_gerichte_PE25.012627</w:t>
      </w:r>
    </w:p>
    <w:p>
      <w:r>
        <w:t>FR: VD_GERICHTE PE25.012627 du 6 août 2025</w:t>
      </w:r>
    </w:p>
    <w:p>
      <w:r>
        <w:t>IT: VD_GERICHTE PE25.012627 del 6 agosto 2025</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Conformément à l’art. 393 al. 2 CPP,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et applique ce dernier d'office (TF 6B_1261/2021 du 5 octobre 2022 consid. 1.2.2 ; TF 1B_318/2021 du 25 janvier 2022 consid. 4.1). Elle n'est par ailleurs pas liée par les motifs invoqués par les parties (art. 391 al. 1 let. a CPP).</w:t>
      </w:r>
    </w:p>
    <w:p>
      <w:r>
        <w:t>- 5 -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selon les formes prescrites auprès de l’autorité compétente, par la plaignante qui avait la qualité pour recourir à la date du dépôt du recours (art. 382 al. 1 CPP), le recours est recevable, sous réserve de ce qui sera exposé plus bas.</w:t>
      </w:r>
    </w:p>
    <w:p>
      <w:r>
        <w:rPr>
          <w:b/>
        </w:rPr>
        <w:t>E. 2.1</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 ATF 143 IV 373 consid. 1.3.1 ; TF 7B_394/2024 du 12 juin 2024 consid. 2.2.1).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Il y a notamment un retard injustifié si l'autorité reste inactive pendant plusieurs mois, alors que la procédure aurait pu être menée à son terme dans un délai beaucoup plus court. Des périodes d'activités intenses</w:t>
      </w:r>
    </w:p>
    <w:p>
      <w:r>
        <w:t>- 6 -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 TF 7B_394/2024 précité). Un certain pouvoir d'appréciation quant aux priorités et aux mesures à prendre pour faire avancer l'instruction doit aussi être reconnu à l'autorité (TF 7B_394/2024 précité et l'arrêt cité). Selon la jurisprudence, apparaissent comme des carences choquantes une inactivité de treize ou quatorze mois au stade de l'instruction ou encore un délai de dix ou onze mois pour que le dossier soit transmis à l'autorité de recours (ATF 130 IV 54 consid. 3.3.3 ; TF 7B_394/2024 précité). Le principe de la célérité peut être violé même si les autorités pénales n'ont commis aucune faute ; elles ne sauraient ainsi exciper des insuffisances de l'organisation judiciaire (ATF 130 IV 54 consid. 3.3.3 ; TF 7B_394/2024 précité). Il appartient au justiciable d'entreprendre ce qui est en son pouvoir pour que l'autorité fasse diligence, que ce soit en l'invitant à accélérer la procédure ou en recourant, le cas échéant, pour retard injustifié (ATF 130 I 312 consid. 5 ; TF 7B_394/2024 précité).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d’elle (cf. TF 1B_561/2021 du 12 novembre 2021 consid. 2 ; TF 1B_309/2021 du</w:t>
      </w:r>
    </w:p>
    <w:p>
      <w:r>
        <w:rPr>
          <w:b/>
        </w:rPr>
        <w:t>E. 2.2</w:t>
      </w:r>
    </w:p>
    <w:p>
      <w:r>
        <w:t>- 7 -</w:t>
      </w:r>
    </w:p>
    <w:p>
      <w:r>
        <w:rPr>
          <w:b/>
        </w:rPr>
        <w:t>E. 2.2.1</w:t>
      </w:r>
    </w:p>
    <w:p>
      <w:r>
        <w:t>La phase qui précède l'ouverture d'une instruction au sens de l'art. 309 CPP constitue les investigations policières au sens des art. 306 et 307 CPP (art. 300 al. 1 let. a CPP). Durant cette phase, le Ministère public peut donner des directives et confier des mandats à la police (art. 307 al. 2 CPP ; TF 7B_394/2024 précité consid. 2.2.2). Les informations recueillies lors des investigations policières permettent au Ministère public de prendre les décisions qui s'imposent en fonction des faits dénoncés. La phase des investigations policières prend fin par l'ouverture d'une instruction (art. 309 al. 1 CPP), par une ordonnance de non-entrée en matière ou par une ordonnance pénale (art. 309 al. 4 CPP ; TF 7B_394/2024 précité).</w:t>
      </w:r>
    </w:p>
    <w:p>
      <w:r>
        <w:rPr>
          <w:b/>
        </w:rPr>
        <w:t>E. 2.2.2.1</w:t>
      </w:r>
    </w:p>
    <w:p>
      <w:r>
        <w:t>Aux termes de l’art. 307 al. 1 CPP, la police informe sans retard le Ministère public sur les infractions graves et tout autre événement sérieux. Les Ministères publics de la Confédération et des cantons peuvent édicter des directives sur l’obligation d’informer. La police établit régulièrement des rapports écrits sur les mesures qu’elle a prises et les constatations qu’elle a faites et les transmet immédiatement après ses investigations au Ministère public avec les dénonciations, les procès-verbaux, les autres pièces, ainsi que les objets et les valeurs mis en sûreté (art. 307 al. 3 CPP). A teneur de l’art. 307 al. 4 let. a CPP, la police peut renoncer à faire un rapport notamment s’il n’y a manifestement pas matière à d’autres actes de procédure de la part du Ministère public. Tel sera le cas lorsque l’identité de l’auteur n’est pas connue ou lorsque, malgré les recherches entreprises, la culpabilité d’une personne connue n’a pas pu être établie. Etablir un rapport dans ces cas ne ferait qu’augmenter inutilement la charge administrative du Ministère public (Message du Conseil fédéral du 21 décembre 2005 relatif à l’unification du droit de la procédure pénale, FF 2006, p. 1245 ; Moreillon/Parein-Reymond, Petit Commentaire, Code de procédure pénale, 2e éd., Bâle 2016, n. 17 ad art. 307 CPP). Ainsi, en pareil cas, la police se contentera d’archiver le dossier et de ne le communiquer au Ministère public que lorsque l’identité de la personne sera connue ou que la prescription sera en phase d’être atteinte (ibidem).</w:t>
      </w:r>
    </w:p>
    <w:p>
      <w:r>
        <w:t>- 8 -</w:t>
      </w:r>
    </w:p>
    <w:p>
      <w:r>
        <w:rPr>
          <w:b/>
        </w:rPr>
        <w:t>E. 2.2.2.2</w:t>
      </w:r>
    </w:p>
    <w:p>
      <w:r>
        <w:t>La Directive no 2.2bis du Procureur général, intitulée « Transmission des plaintes, dénonciations ou rapports à la police avant ouverture d’instruction » prévoit ce qui suit à son chapitre 4, intitulé « Transmission au Ministère public du rapport de police après exécution des investigations policières » : « Au terme des investigations policières, le dossier sera classé et conservé auprès de la Police cantonale vaudoise (Info-centre) si les investigations de police ne permettent pas d’identifier l’auteur des infractions ou qu’il n’y a pas matière à d’autres actes de procédure de la part du Ministère public (art. 307 al. 4 CPP ; FF 2006, p. 1245). Les investigations pourront être reprises en tout temps en cas d’apparition d’un fait ou d’un élément nouveau. Si les éléments recueillis lors des investigations policières permettent d’identifier l’auteur ou qu’il y a matière à d’autres actes de procédure de la part du Ministère public, la police transmet au Ministère public un rapport de police ainsi que toutes les annexes relatives à cette affaire. En cas de contestation par une partie des motifs ayant conduit la police à appliquer l’art. 307 al. 4 CPP, le résultat des investigations policières est également transmis au Ministère public pour décision quant à la suite à donner à la procédure ».</w:t>
      </w:r>
    </w:p>
    <w:p>
      <w:r>
        <w:rPr>
          <w:b/>
        </w:rPr>
        <w:t>E. 2.3</w:t>
      </w:r>
    </w:p>
    <w:p>
      <w:r>
        <w:t>En l’espèce, les questions de savoir si la police aurait dû transmettre au Ministère public la plainte pénale déposée par la recourante et établir un rapport écrit à l’attention de cette autorité en application de l’art. 307 CPP, respectivement si cette inactivité potentielle constitue une carence choquante, constitutive d’une violation du devoir de célérité, soit d’un déni de justice, peuvent demeurer indécises. En effet, au pied de ses déterminations du 14 juillet 2025, la Police cantonale a indiqué que compte tenu des contestations émises par la recourante, un tel rapport serait établi et transmis au Ministère public compétent pour qu’il statue formellement quant à la suite à donner à la procédure. Dans ces conditions, il y a lieu de constater que le recours pour déni de justice est devenu sans objet. La cause sera donc rayée du rôle. La Police cantonale est néanmoins enjointe à transmettre ledit rapport au</w:t>
      </w:r>
    </w:p>
    <w:p>
      <w:r>
        <w:t>- 9 - Ministère public dans les plus brefs délais, un délai au 15 septembre 2025 lui étant imparti pour ce faire.</w:t>
      </w:r>
    </w:p>
    <w:p>
      <w:r>
        <w:rPr>
          <w:b/>
        </w:rPr>
        <w:t>E. 3</w:t>
      </w:r>
    </w:p>
    <w:p>
      <w:r>
        <w:t>septembre 2021 consid. 4). Dès que l'autorité a statué, le justiciable perd en principe tout intérêt juridique à faire constater un éventuel retard à statuer (ATF 142 I 135 consid. 1.3.1 ; ATF 136 III 497 consid. 2.1 ; TF 1B_87/2021 du 29 avril 2021 consid. 1.4 et les références citées).</w:t>
      </w:r>
    </w:p>
    <w:p>
      <w:r>
        <w:rPr>
          <w:b/>
        </w:rPr>
        <w:t>E. 3.1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rPr>
          <w:b/>
        </w:rPr>
        <w:t>E. 3.2</w:t>
      </w:r>
    </w:p>
    <w:p>
      <w:r>
        <w:t>En l’occurrence, les motifs pour lesquels la procédure de recours est devenue sans objet ne sont manifestement pas imputables à la recourante, puisque la Police cantonale ne l’a informée de son intention de transmettre un rapport au Ministère public que postérieurement au dépôt du recours. Dans ces conditions, les frais d’arrêt, par 880 fr. (art. 20 al. 1 TFIP [tarif des frais de procédure et indemnités en matière pénale du 28 septembre 2010 ; BLV 312.03.1]), seront laissés à la charge de l’Etat.</w:t>
      </w:r>
    </w:p>
    <w:p>
      <w:r>
        <w:t>- 10 - Par ces motifs, la Chambre des recours pénale prononce : I. Le recours est sans objet. II. La cause est rayée du rôle. III. Un délai au 15 septembre 2025 est imparti à la Police cantonale vaudoise pour transmettre son rapport au Ministère public compétent. IV. Les frais d’arrêt, par 880 fr. (huit cent huitante francs), sont laissés à la charge de l’Etat. V. L’arrêt est exécutoire. Le président : La greffière : Du Le présent arrêt, dont la rédaction a été approuvée à huis clos, est notifié, par l'envoi d'une copie complète, à : - Mme S.________, - Ministère public central, - Mme la Commandante de la Police cantonale vaudoise.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