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PE25.012459 vom 29. Januar 2026</w:t>
      </w:r>
    </w:p>
    <w:p>
      <w:r>
        <w:t>VD Tribunal cantonal, 2026-01-29, FR</w:t>
      </w:r>
    </w:p>
    <w:p>
      <w:r>
        <w:rPr>
          <w:b/>
        </w:rPr>
        <w:t xml:space="preserve">Quelle: </w:t>
      </w:r>
      <w:r>
        <w:t>https://mcp.opencaselaw.ch/entscheid/vd_gerichte_PE25.012459</w:t>
      </w:r>
    </w:p>
    <w:p>
      <w:r>
        <w:t>FR: VD_GERICHTE PE25.012459 du 29 janvier 2026</w:t>
      </w:r>
    </w:p>
    <w:p>
      <w:r>
        <w:t>IT: VD_GERICHTE PE25.012459 del 29 gennaio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dûment motivé (art. 390 al. 1 et 396 al. 1 CPP). Les exigences de motivation du 12J010</w:t>
      </w:r>
    </w:p>
    <w:p>
      <w:r>
        <w:t>- 4 -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12J010</w:t>
      </w:r>
    </w:p>
    <w:p>
      <w:r>
        <w:t>- 5 - devant pas être appliqué afin de détourner la portée de l’art. 89 al. 1 CPP, qui interdit la prolongation des délais fixés par la loi et n’autorise pas la partie à compléter un acte dépourvu de motivation (TF 7B_11/2024 précité consid. 3.2 ; TF 7B_51/2024 du 25 avril 2024 consid. 2.2.2 ; TF 6B_1447/2022 du 14 mars 2023 consid. 1.1).</w:t>
      </w:r>
    </w:p>
    <w:p>
      <w:r>
        <w:rPr>
          <w:b/>
        </w:rPr>
        <w:t>E. 1.3</w:t>
      </w:r>
    </w:p>
    <w:p>
      <w:r>
        <w:t>En l’espèce, le recours a été interjeté en temps utile devant l’autorité compétente par la partie plaignante, valablement représentée (art. 127 al. 4 CPP), qui a qualité pour recourir (art. 382 al. 1 CPP). Cependant, dans son acte du 7 juillet 2025, le recourant se borne à exposer qu’il n’est pas d’accord avec la motivation de l’ordonnance attaquée, que les faits sont trop graves pour être ignorés malgré la prescription, qu’il a dû subir des opérations en raison des lésions à son épaule et qu’il se trouve de ce fait, qu’il impute à son ancien chef, en restructuration professionnelle et en dépression. De manière générale, il se plaint d’une absence de soutien, d’encadrement et expose que son cas va être réexaminé par la SUVA. Il produit un rapport du Centre universitaire romand de médecine légale figurant déjà au dossier. Ce faisant, le recourant n’expose nullement, en se référant aux considérants de la décision attaquée – selon lesquels la contravention et les infractions entrant en ligne de compte se poursuivent sur plainte, plainte déposée tardivement –, quels motifs commanderaient – sous l’angle du fait ou du droit – de prendre une autre décision. Il ne soutient ni que le raisonnement de l’autorité précédente serait erroné, ni ne développe une quelconque argumentation en lien avec l’ordonnance attaquée. En particulier, il ne cherche pas à démontrer que la plainte déposée le 26 février 2025 l’aurait été en temps utile, soit dans le délai prévu à l’art. 31 CP, ni que les faits prétendument survenus en décembre 2024 seraient ou pourraient être établis. Il s’ensuit que le recours ne satisfait pas aux exigences de motivation déduites de l’art. 385 al. 1 CPP. 12J010</w:t>
      </w:r>
    </w:p>
    <w:p>
      <w:r>
        <w:t>- 6 -</w:t>
      </w:r>
    </w:p>
    <w:p>
      <w:r>
        <w:rPr>
          <w:b/>
        </w:rPr>
        <w:t>E. 1.4</w:t>
      </w:r>
    </w:p>
    <w:p>
      <w:r>
        <w:t>Par surabondance, il y a lieu de relever que le raisonnement du Ministère public ne prête pas le flanc à la critique puisqu’il apparaît effectivement que la quasi-totalité des faits dénoncés précède de plus de trois mois le dépôt de la plainte, et ce raisonnement conserverait sa pertinence même à considérer que les lésions que le plaignant dit avoir subies de la part de son chef devraient être qualifiées de lésions corporelles simples, cette infraction n’étant poursuivie que sur plainte également (cf. art. 123 ch. 1 CP). Au demeurant, il n’est pas contestable que les déclarations du recourant, qui sont contestées, ne sont pas objectivables. En particulier, les éléments au dossier ne permettent pas d’imputer les lésions à l’épaule du plaignant à l’action d’un tiers – étant relevé que le constat médical du 4 juin 2024 ne se prononce pas sur cette question et ne fait que reproduire, pour l’essentiel, les propres déclarations du plaignant – et on ne voit pas quelle mesure d’instruction serait susceptible de le faire. Il en va de même des faits qui seraient survenus en décembre 2024. Ainsi, à considérer recevable, le recours devrait être rejeté.</w:t>
      </w:r>
    </w:p>
    <w:p>
      <w:r>
        <w:rPr>
          <w:b/>
        </w:rPr>
        <w:t>E. 2</w:t>
      </w:r>
    </w:p>
    <w:p>
      <w:r>
        <w:t>Au vu de ce qui précède, le recours doit être déclaré irrecevable, sans échange d’écritures (art. 390 al. 2 CPP). Le recours étant d’emblée dénué de chances de succès, la requête d’assistance judiciaire doit être rejetée, les conditions de l’art. 136 al. 1 CPP n’étant pas réunies. Les frais de la procédure de recours, constitués en l’espèce du seul émolument d’arrêt (art. 422 al. 1 CPP), par 660 fr. (art. 20 al. 1 TFIP [tarif des frais de procédure et indemnités en matière pénale du 28 12J010</w:t>
      </w:r>
    </w:p>
    <w:p>
      <w:r>
        <w:t>- 7 - septembre 2010 ; BLV 312.03.1]), seront mis à la charge du recourant, réputé succomber (art. 428 al. 1, 2e phrase, CPP). Par ces motifs, la Chambre des recours pénale prononce : I. Le recours est irrecevable. II. La requête d’assistance judiciaire est rejetée. III. Les frais d’arrêt, par 660 fr. (six cent soixante francs), sont mis à la charge de C.________. IV. L’arrêt est exécutoire. La présidente : Le greffier : Du Le présent arrêt, dont la rédaction a été approuvée à huis clos, est notifié, par l'envoi d'une copie complète, à : - F.________ (pour C.________), - Ministère public central, et communiqué à : - Mme la Procureure de l’arrondissement de Lausanne, - A.________, 12J010</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