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PE25.012259 vom 12. Dezember 2025</w:t>
      </w:r>
    </w:p>
    <w:p>
      <w:r>
        <w:t>VD Tribunal cantonal, 2025-12-12, FR</w:t>
      </w:r>
    </w:p>
    <w:p>
      <w:r>
        <w:rPr>
          <w:b/>
        </w:rPr>
        <w:t xml:space="preserve">Quelle: </w:t>
      </w:r>
      <w:r>
        <w:t>https://mcp.opencaselaw.ch/entscheid/vd_gerichte_PE25.012259</w:t>
      </w:r>
    </w:p>
    <w:p>
      <w:r>
        <w:t>FR: VD_GERICHTE PE25.012259 du 12 décembre 2025</w:t>
      </w:r>
    </w:p>
    <w:p>
      <w:r>
        <w:t>IT: VD_GERICHTE PE25.012259 del 12 dicembre 2025</w:t>
      </w:r>
    </w:p>
    <w:p>
      <w:pPr>
        <w:pStyle w:val="Heading2"/>
      </w:pPr>
      <w:r>
        <w:t>Erwägungen</w:t>
      </w:r>
    </w:p>
    <w:p>
      <w:r>
        <w:rPr>
          <w:b/>
        </w:rPr>
        <w:t>E. 1</w:t>
      </w:r>
    </w:p>
    <w:p>
      <w:r>
        <w:t>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w:t>
      </w:r>
    </w:p>
    <w:p>
      <w:r>
        <w:rPr>
          <w:b/>
        </w:rPr>
        <w:t>E. 1.1</w:t>
      </w:r>
    </w:p>
    <w:p>
      <w:r>
        <w:t>Les parties peuvent attaquer une ordonnance de non-entrée en matière rendue par le Ministère public en application de l’art. 310 CPP dans 12J010</w:t>
      </w:r>
    </w:p>
    <w:p>
      <w:r>
        <w:t>- 3 - les dix jours devant l’autorité de recours (art. 310 al. 2, 322 al. 2 et 396 al.</w:t>
      </w:r>
    </w:p>
    <w:p>
      <w:r>
        <w:rPr>
          <w:b/>
        </w:rPr>
        <w:t>E. 1.2</w:t>
      </w:r>
    </w:p>
    <w:p>
      <w:r>
        <w:t>Interjeté en temps utile et dans les formes prescrites (art. 385 al. 1 CPP) devant l’autorité compétente par la partie plaignante qui a qualité pour recourir (art. 382 al. 1 CPP), le recours est recevable, sous réserve de ce qui sera exposé au considérant 2.3 ci-dessous.</w:t>
      </w:r>
    </w:p>
    <w:p>
      <w:r>
        <w:rPr>
          <w:b/>
        </w:rPr>
        <w:t>E. 2</w:t>
      </w:r>
    </w:p>
    <w:p>
      <w:r>
        <w:t>CPP ; ATF 138 IV 86 consid. 4.2) et signifie qu’en principe un classement ou une non-entrée en matière ne peuvent être prononcés par le Ministère 12J010</w:t>
      </w:r>
    </w:p>
    <w:p>
      <w:r>
        <w:t>- 5 - public que lorsqu’il apparaît clairement que les faits ne sont pas punissables ou que les conditions à la poursuite pénale ne sont pas remplies (ATF 146 IV 68 consid. 2.1 ; TF 6B_670/2021 du 7 décembre 2021 consid. 3.2). En d’autres termes, il faut être certain que l’état de fait ne constitue aucune infraction. Une ordonnance de non-entrée en matière ne peut être rendue que dans les cas clairs du point de vue des faits, mais également du droit.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6B_375/2020 du 9 juillet 2020 consid. 3.2 et les références citées ; TF 6B_541/2017 du 20 décembre 2017 consid. 2.2).</w:t>
      </w:r>
    </w:p>
    <w:p>
      <w:r>
        <w:rPr>
          <w:b/>
        </w:rPr>
        <w:t>E. 2.1.1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12J010</w:t>
      </w:r>
    </w:p>
    <w:p>
      <w:r>
        <w:t>- 4 - les failles qu’il croit déceler dans le raisonnement de l’autorité inférieure, le renvoi à d’autres écritures n’étant pas suffisant (cf. TF 7B_587/2023 précité). L’art. 385 al. 2 CPP prévoit que si le mémoire ne satisfait pas à ces exigences, l’autorité de recours le renvoie au recourant pour qu’il le complète dans un bref délai ;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7B_11/2024 du 27 juin 2025 consid. 3.2 ; TF 7B_587/2023 précité et les références citées).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7B_11/2024 précité consid. 3.2 ; TF 7B_51/2024 du 25 avril 2024 consid. 2.2.2 ; TF 6B_1447/2022 du 14 mars 2023 consid. 1.1).</w:t>
      </w:r>
    </w:p>
    <w:p>
      <w:r>
        <w:rPr>
          <w:b/>
        </w:rPr>
        <w:t>E. 2.1.2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 in dubio pro duriore », qui découle du principe de la légalité (art. 5 al. 1 Cst. et art. 2 al.</w:t>
      </w:r>
    </w:p>
    <w:p>
      <w:r>
        <w:rPr>
          <w:b/>
        </w:rPr>
        <w:t>E. 2.1.3</w:t>
      </w:r>
    </w:p>
    <w:p>
      <w:r>
        <w:t>Une plainte est valable au sens de l’art. 30 CP si l’ayant droit, avant l’échéance d’un délai de trois mois depuis que l’auteur de l’infraction lui est connu (art. 31 CP), manifeste, dans les formes et auprès des autorités compétentes selon l’art. 304 CPP, sa volonté inconditionnelle que l’auteur de l’infraction soit poursuivi et que la procédure pénale se poursuive sans autre déclaration de sa volonté (cf. ATF 141 IV 380 consid. 2.3.4 ; ATF 131 IV 97 consid. 3.1 ; TF 6B_501/2020 du 15 décembre 2020 consid. 1.1.1). Le point de départ du délai de trois mois de l’art. 31 CP, applicable en matière de délits contre l’honneur en vertu du renvoi de l’art. 178 al. 2 CP, est la connaissance de l'auteur et, bien entendu également, de l'infraction (ATF 142 IV 129 consid. 4.3), plus précisément des éléments de fait qui constituent l'infraction (cf. ATF 126 IV 131 consid. 2a ; TF 7B_3/2022 et 7B_4/2022 du 1er février 2024 consid. 5.1 ; TF 6B_1356/2021 du 9 juin 2023 consid. 2.1.3 et les réf. cit. ; TF 6B_5/2019 du 4 avril 2019 consid. 2.1.1 qui mentionne « Tatbestandselemente » ; cf. également TF 6B_1079/2020 du 4 février 2021 consid. 2.4.2 ; TF 6B_317/2015 du 22 juin 2015 consid. 2.1 qui mentionne « Kenntnis der Tat »). Le délai institué par l'art. 31 CP étant un 12J010</w:t>
      </w:r>
    </w:p>
    <w:p>
      <w:r>
        <w:t>- 6 - délai de péremption, il ne peut être ni interrompu ni prolongé (ATF 118 IV 325 consid. 2b). La plainte pénale est une déclaration de volonté inconditionnelle par laquelle le lésé demande l’introduction d’une poursuite pénale (ATF 141 IV 380 consid. 2.3.4; ATF 128 IV 81 consid. 2a). Selon la jurisprudence du Tribunal fédéral et la doctrine majoritaire, il s’agit d’une condition à l’ouverture de l’action pénale (« Prozessvoraussetzung »; Riedo, in : Niggli/Wiprächtiger [éd.], Basler Kommentar, Strafrecht I, 4e éd., Bâle 2019, nn. 21 ad Vor art. 30 et 108 ad art. 30 CP et les réf. citées). Il s’ensuit que si, lorsqu’aucune infraction poursuivie d’office n’est en cause, une plainte valable fait défaut, le Ministère public doit rendre soit une ordonnance de non-entrée en matière au sens de l’art. 310 al. 1 let. a CPP, au motif qu’une condition à l’ouverture de l’action pénale n’est pas réunie, soit si une instruction a été ouverte, il doit rendre une ordonnance de classement au sens de l’art. 319 al. 1 let. d CPP, au motif qu’il est établi que certaines conditions à l’ouverture de l’action pénale ne peuvent pas être remplies (Riedo, op. cit., nn. 108 et 114 ad art. 30 CP et les réf. citées ; Dupuis et al., op. cit., n. 2 ad art. 30 CP et les réf. citées).</w:t>
      </w:r>
    </w:p>
    <w:p>
      <w:r>
        <w:rPr>
          <w:b/>
        </w:rPr>
        <w:t>E. 2.1.4</w:t>
      </w:r>
    </w:p>
    <w:p>
      <w:r>
        <w:t>Selon l’art. 179quater al. 1 CP, quiconque, sans le consentement de la personne intéressée, observe avec un appareil de prise de vues ou fixe sur un porteur d’images un fait qui relève du domaine secret de cette personne ou un fait ne pouvant être perçu sans autre par chacun et qui relève du domaine privé de celle-ci, est, sur plainte, puni d’une peine privative de liberté de trois ans au plus ou d’une peine pécuniaire.</w:t>
      </w:r>
    </w:p>
    <w:p>
      <w:r>
        <w:rPr>
          <w:b/>
        </w:rPr>
        <w:t>E. 2.1.5</w:t>
      </w:r>
    </w:p>
    <w:p>
      <w:r>
        <w:t>Aux termes de l’art. 186 CP, quiconque, d’une manière illicite et contre la volonté de l’ayant droit, pénètre dans une maison, dans une habitation, dans un local fermé faisant partie d’une maison, dans un espace, cour ou jardin clos et attenant à une maison, ou dans un chantier, ou y demeure au mépris de l’injonction de sortir à lui adressée par un ayant droit est, sur plainte, puni d’une peine privative de liberté de trois ans au plus ou d’une peine pécuniaire. 12J010</w:t>
      </w:r>
    </w:p>
    <w:p>
      <w:r>
        <w:t>- 7 -</w:t>
      </w:r>
    </w:p>
    <w:p>
      <w:r>
        <w:rPr>
          <w:b/>
        </w:rPr>
        <w:t>E. 2.2</w:t>
      </w:r>
    </w:p>
    <w:p>
      <w:r>
        <w:t>En l’espèce, dans son argumentation, la recourante présente sa propre version des faits et sa propre lecture de l’audition de B.________, sans faire aucunement référence à la motivation de l’ordonnance attaquée. Elle n’expose pas en quoi les éléments constitutifs des infractions dénoncées seraient réalisés, respectivement elle n’expose pas en quoi le principe « in dubio pro duriore » aurait été concrètement violé par le Ministère public. On peut dès lors se demander si le recours satisfait aux exigences de motivation de l'art. 385 al. 1 CPP, respectivement s’il est recevable. Cela étant, même à supposer recevable, le recours devrait de toute manière être rejeté pour les motifs exposés ci-après.</w:t>
      </w:r>
    </w:p>
    <w:p>
      <w:r>
        <w:rPr>
          <w:b/>
        </w:rPr>
        <w:t>E. 2.3</w:t>
      </w:r>
    </w:p>
    <w:p>
      <w:r>
        <w:t>Les deux infractions envisagées, à savoir la violation du domaine secret ou du domaine privé au moyen d’un appareil de prise de vues (art. 179quater CP) et la violation de domicile (art. 186 CP), ne sont poursuivies que sur plainte. Or, lorsque la recourante a formellement déposé plainte le 7 février 2025, son droit était largement prescrit en application de l’art. 31 CP. En effet, c’est depuis le 26 juin 2023, à savoir le jour même de la survenance des faits reprochés, que la recourante a eu connaissance des éléments lui permettant de déposer plainte. Son droit était donc prescrit dès le 27 septembre 2023. Une condition à l’ouverture de l’action pénale n’était donc pas réalisée. Quant aux faits survenus les 1er et 29 avril 2025 et à la nouvelle plainte pénale déposée le 9 octobre 2025, ils sont exorbitants du cadre de la présente procédure. C’est ainsi – de toute manière – à bon droit que le Ministère public a rendu une ordonnance de non-entrée en matière.</w:t>
      </w:r>
    </w:p>
    <w:p>
      <w:r>
        <w:rPr>
          <w:b/>
        </w:rPr>
        <w:t>E. 3</w:t>
      </w:r>
    </w:p>
    <w:p>
      <w:r>
        <w:t>En définitive, le recours, manifestement mal fondé, doit être rejeté sans échange d’écritures (art. 390 al. 2 CPP), dans la mesure où il est recevable, et l’ordonnance attaquée confirmée. Les frais de la procédure de recours, constitués du seul émolument d’arrêt (art. 422 al. 1 CPP), par 770 fr. (art. 20 al. 1 TFIP [tarif des frais de procédure et indemnités en matière pénale du 28 septembre 2010 ; BLV 312.03.1]), seront mis à la charge de la recourante, qui 12J010</w:t>
      </w:r>
    </w:p>
    <w:p>
      <w:r>
        <w:t>- 8 - succombe (art. 428 al. 1 CPP). Les frais seront compensés avec le montant de 770 fr. déjà versé par celle-ci à titre de sûretés (art. 383 al. 1 CPP). Par ces motifs, la Chambre des recours pénale prononce : I. Le recours est rejeté dans la mesure où il est recevable. II. L’ordonnance du 16 octobre 2025 est confirmée. III. Les frais d’arrêt, par 770 fr. (sept cent septante francs), sont mis à la charge d’A.________. IV. Les frais mis à la charge d’A.________ au chiffre III ci-dessus sont compensés avec le montant de 770 fr. (sept cent septante francs) déjà versé par celle-ci à titre de sûretés. V. L’arrêt est exécutoire. Le président : La greffière : Du Le présent arrêt, dont la rédaction a été approuvée à huis clos, est notifié, par l'envoi d'une copie complète, à : - Mme A.________, - Ministère public central, et communiqué à : - Mme la Procureure de l’arrondissement de l’Est vaudois, - Me Frédéric Hainard, avocat (pour A.________ et D.________), - M. B.________, 12J010</w:t>
      </w:r>
    </w:p>
    <w:p>
      <w:r>
        <w:t>- 9 -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