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PE25.011706 vom 28. Juli 2025</w:t>
      </w:r>
    </w:p>
    <w:p>
      <w:r>
        <w:t>VD Tribunal cantonal, 2025-07-28, FR</w:t>
      </w:r>
    </w:p>
    <w:p>
      <w:r>
        <w:rPr>
          <w:b/>
        </w:rPr>
        <w:t xml:space="preserve">Quelle: </w:t>
      </w:r>
      <w:r>
        <w:t>https://mcp.opencaselaw.ch/entscheid/vd_gerichte_PE25.011706</w:t>
      </w:r>
    </w:p>
    <w:p>
      <w:r>
        <w:t>FR: VD_GERICHTE PE25.011706 du 28 juillet 2025</w:t>
      </w:r>
    </w:p>
    <w:p>
      <w:r>
        <w:t>IT: VD_GERICHTE PE25.011706 del 28 luglio 2025</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 et al.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w:t>
      </w:r>
    </w:p>
    <w:p>
      <w:r>
        <w:rPr>
          <w:b/>
        </w:rPr>
        <w:t>E. 1.2</w:t>
      </w:r>
    </w:p>
    <w:p>
      <w:r>
        <w:t>En l’espèce, interjeté dans le délai légal, auprès de l’autorité compétente et dans les formes prescrites (art. 385 al. 1 CPP), contre une ordonnance du Ministère public refusant d’octroyer une autorisation de visite en détention provisoire, par le prévenu qui a qualité pour recourir (art. 382 al. 1 CPP), le recours est recevable.</w:t>
      </w:r>
    </w:p>
    <w:p>
      <w:r>
        <w:rPr>
          <w:b/>
        </w:rPr>
        <w:t>E. 2.1</w:t>
      </w:r>
    </w:p>
    <w:p>
      <w:r>
        <w:t>Le recourant fait valoir que le risque de collusion ne serait ni concret, ni sérieux. Il relève qu’il aurait cherché à envoyer des lettres aux siens, dans lesquelles il n’aurait pas demandé de transmettre des informations à des tiers, et prétend qu’il n’y aurait aucune raison qu’il agisse différemment s’il rencontrait sa mère, dont rien ne permettrait au demeurant de penser qu’elle serait impliquée dans le trafic de drogue qui lui est reproché. Il soutient en outre qu’il aurait fait des déclarations crédibles et probantes, de sorte qu’un risque de collusion serait en principe exclu. Il relève par ailleurs que la procureure n’aurait pas rejeté sur le principe sa demande de conférence via Whatsapp avec sa mère et fait valoir qu’il n’y aurait aucune raison de retenir un risque de collusion dans le cadre d’une visite « en présentiel », qui ne serait pas différente d’une visio-conférence. Il fait enfin valoir que son avocat aurait proposé d’être présent avec un interprète lors de la visite, d’enregistrer l’entretien et de transmettre l’enregistrement au Ministère public, de sorte que l’impossibilité alléguée par la procureure de procéder à l’enregistrement de la visite ne saurait faire obstacle à celle-ci et que tout risque de collusion serait ainsi évité.</w:t>
      </w:r>
    </w:p>
    <w:p>
      <w:r>
        <w:rPr>
          <w:b/>
        </w:rPr>
        <w:t>E. 2.2</w:t>
      </w:r>
    </w:p>
    <w:p>
      <w:r>
        <w:t>; ATF 145 I 318 précité consid. 2.2 et les références citées).</w:t>
      </w:r>
    </w:p>
    <w:p>
      <w:r>
        <w:rPr>
          <w:b/>
        </w:rPr>
        <w:t>E. 2.2.1</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w:t>
      </w:r>
    </w:p>
    <w:p>
      <w:r>
        <w:t>- 6 - L'art. 235 al. 1 CPP constitue la base légale permettant de restreindre les droits des prévenus dans la mesure où le but de la détention l'exige (TF 1B_452/2022 du 7 mars 2023 consid. 2.2 ; TF 1B_122/2020 du 20 mars 2020 consid. 2.1 à 2.3 ; TF 1B_410/2019 du 4 octobre 2019 consid. 3.1). Il appartient au législateur cantonal de régler les droits et les obligations des prévenus en détention (art. 235 al. 5 CPP ; TF 1B_452/2022 précité consid. 2.2 ; TF 1B_122/2020 précité ; TF 1B_410/2019 précité consid. 3.1).</w:t>
      </w:r>
    </w:p>
    <w:p>
      <w:r>
        <w:rPr>
          <w:b/>
        </w:rPr>
        <w:t>E. 2.2.2</w:t>
      </w:r>
    </w:p>
    <w:p>
      <w:r>
        <w:t>Les mesures privatives de liberté s'accompagnent inévitablement de souffrance et d'humiliation. Cela étant, l'art. 3 CEDH (Convention de sauvegarde des droits de l’homme et des libertés fondamentales du 4 novembre 1950 ; RS 0.101)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(arrêt CourEDH Stanev c. Bulgarie, Grande Chambre, du 17 janvier 2012, requête n° 36760/06, § 204). La garantie de la liberté personnelle (art. 10 al. 2 Cst. [Constitution fédérale de la Confédération suisse du 18 avril 1999 ; RS 101])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(ATF 150 I 50 consid. 3.2.1 ; ATF 149 I 161 consid. 2.2 ; ATF 145 I 318 consid. 2.1). Conformément aux exigences de l'art. 36 Cst., les restrictions à ces droits doivent reposer sur une base légale et ne pas aller au-delà de ce qui est nécessaire au but de l'incarcération et au fonctionnement de l'établissement de détention (ATF 150 I 50 précité ; ATF 145 I 318 précité ;</w:t>
      </w:r>
    </w:p>
    <w:p>
      <w:r>
        <w:t>- 7 - ATF 143 I 241 consid. 3.4 et les références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(ATF 150 I 50 précité ; ATF 149 I 161 précité consid. 2.1 ; ATF 145 I 318 précité et les références citées). Conformément à la jurisprudence du Tribunal fédéral, les visites ou les appels téléphoniques, même en faveur des proches, peuvent être refusés à la personne placée en détention provisoire en cas de danger important de collusion (ATF 143 I 241 précité consid. 3.6 et les références citées).</w:t>
      </w:r>
    </w:p>
    <w:p>
      <w:r>
        <w:rPr>
          <w:b/>
        </w:rPr>
        <w:t>E. 2.2.3</w:t>
      </w:r>
    </w:p>
    <w:p>
      <w:r>
        <w:t>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S'agissant des contacts des détenus avec le monde extérieur, la règle 24 peut être</w:t>
      </w:r>
    </w:p>
    <w:p>
      <w:r>
        <w:t>- 8 - considérée comme définissant les responsabilités des administrations pénitentiaires pour assurer le respect des droits découlant notamment de l'art. 8 CEDH dans les conditions fondamentalement restrictives de la prison (ATF 150 I 50 précité consid. 3.2.3 ; ATF 149 I 161 précité consid.</w:t>
      </w:r>
    </w:p>
    <w:p>
      <w:r>
        <w:rPr>
          <w:b/>
        </w:rPr>
        <w:t>E. 2.2.4</w:t>
      </w:r>
    </w:p>
    <w:p>
      <w:r>
        <w:t>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sauf décision contraire de l'autorité dont les personnes détenues avant jugement dépendent, les visites ne sont admises qu'à raison d'une personne à la fois (al. 4) ; seules les personnes munies d'une autorisation délivrée par l'autorité dont les personnes détenues avant jugement dépendent sont admises à visiter une personne détenue (al. 1). Cette réglementation correspond aux exigences de la jurisprudence (ATF 150 I 50 précité consid. 3.2.5 ; ATF 118 Ia 64 consid. 3 let. n-o).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2.3</w:t>
      </w:r>
    </w:p>
    <w:p>
      <w:r>
        <w:t>En l’espèce, le recourant est notamment mis en cause pour avoir participé à un trafic de produits stupéfiants dont l’ampleur n’a pas encore été déterminée. S’il a certes admis avoir effectué des livraisons de drogue et envoyé de l’argent en Colombie pour le compte de tiers, et s’il a</w:t>
      </w:r>
    </w:p>
    <w:p>
      <w:r>
        <w:t>- 9 - mis en cause un certain nombre de personnes, ses déclarations ne sauraient suffire pour retenir que le risque de collusion ne serait pas concret et sérieux. En effet, comme le retient le Tribunal des mesures de contrainte dans son ordonnance du 5 juin 2025, l’enquête ne fait que débuter et concerne un réseau de trafiquants d’origine colombienne d’une ampleur certaine, dont les principaux participants doivent encore être identifiés et interpellés. Il est donc essentiel, à ce stade, que le recourant ne puisse pas entrer en contact avec des tiers, même non impliqués dans le trafic qui lui est reproché. On peut en effet légitimement craindre qu’il profite d’un entretien avec sa mère pour lui transmettre des informations ou des instructions à l’attention d’autres personnes impliquées, ou pour l’inciter à faire disparaître des moyens de preuves, ce qui compromettrait l’enquête. Le risque de collusion est donc manifeste, quand bien même le recourant n’aurait jusqu’à présent pas demandé de transmettre des informations à des tiers dans les lettres qu’il a tenté de faire parvenir aux membres de sa famille par l’entremise de son avocat, étant précisé que des éléments relatifs à l’affaire en cours y ont tout de même été évoqués. Par ailleurs, s’il est exact que la demande d’entretien avec sa mère par visio-conférence via Whatsapp qu’il a formulée n’a dans un premier temps pas été formellement rejetée, celle-ci n’a pas non plus été admise par la procureure, qui entendait d’abord effectuer des vérifications avant de se déterminer. Enfin, contrairement à ce qu’il soutient, la proposition de son avocat d’être présent avec un interprète lors de la visite, d’enregistrer l’entretien et de transmettre l’enregistrement au Ministère public ne saurait permettre d’éviter la réalisation du risque de collusion exposé ci- dessus. En effet, la surveillance des échanges d’un détenu avec l’extérieur relève du Ministère public et des agents publics, et non des interprètes ou des avocats. En outre, l’avocat pourrait se trouver dans un conflit d’intérêt si son client venait à lui demander de ne pas enregistrer l’intégralité de l’entretien, ou s’il devait transmettre à la direction de la procédure des éléments allant à l’encontre des intérêts de son client. Compte tenu des éléments qui précèdent, on doit considérer que la restriction à la garantie de la liberté personnelle et au droit au respect de la vie privée et familiale du recourant qui découle du refus du</w:t>
      </w:r>
    </w:p>
    <w:p>
      <w:r>
        <w:t>- 10 - Ministère public de délivrer l’autorisation de visite requise est nécessaire, justifiée et proportionnée. Les griefs du recourant sont donc infondés.</w:t>
      </w:r>
    </w:p>
    <w:p>
      <w:r>
        <w:rPr>
          <w:b/>
        </w:rPr>
        <w:t>E. 3</w:t>
      </w:r>
    </w:p>
    <w:p>
      <w:r>
        <w:t>En définitive, le recours, manifestement mal fondé, doit être rejeté sans échange d’écritures (art. 390 al. 2 CPP) et l’ordonnance entreprise confirmée. Compte tenu de la nature de l’affaire et de l’acte de recours déposé, l’indemnité allouée au défenseur d’office de D.________ sera fixée à 360 fr., correspondant à une activité nécessaire d’avocat de deux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et la TVA au taux de 8,1 %, par 29 fr. 75. L’indemnité d’office s’élève ainsi au total à 397 fr. en chiffres arrondis. Vu le sort du recours, les frais de la procédure, constitués en l’espèce de l’émolument d'arrêt, par 1’100 fr. (art. 20 al. 1 TFIP), et des frais imputables à la défense d’office de D.________ (art. 422 al. 1 et 2 let. a CPP), fixés à 397 fr., seront mis à la charge du recourant, qui succombe (art. 428 al. 1 CPP). Le remboursement à l’Etat de l’indemnité allouée à son défenseur d’office sera exigible du recourant dès que sa situation financière le permettra (art. 135 al. 4 CPP).</w:t>
      </w:r>
    </w:p>
    <w:p>
      <w:r>
        <w:t>- 11 - Par ces motifs, la Chambre des recours pénale prononce : I. Le recours est rejeté. II. L’ordonnance du 10 juillet 2025 est confirmée. III. L’indemnité allouée à Me Charles-Henri de Luze, défenseur d’office de D.________, est fixée à 397 fr. (trois cent nonante- sept francs). IV. Les frais d’arrêt, par 1’100 fr. (mille cent francs), ainsi que l’indemnité allouée à Me Charles-Henri de Luze, par 397 fr. (trois cent nonante-sept francs), sont mis à la charge de D.________. V. Le remboursement à l’Etat de l’indemnité allouée au chiffre III ci-dessus sera exigible de D.________ dès que sa situation financière le permettra. VI. L’arrêt est exécutoire. Le président : La greffière : Du Le présent arrêt, dont la rédaction a été approuvée à huis clos, est notifié, par l'envoi d'une copie complète, à : - Me Charles-Henri de Luze, avocat (pour D.________), - Ministère public central, et communiqué à : - Mme la Procureure du Ministère public cantonal Strada,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