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PE25.011581 vom 10. September 2025</w:t>
      </w:r>
    </w:p>
    <w:p>
      <w:r>
        <w:t>VD Tribunal cantonal, 2025-09-10, FR</w:t>
      </w:r>
    </w:p>
    <w:p>
      <w:r>
        <w:rPr>
          <w:b/>
        </w:rPr>
        <w:t xml:space="preserve">Quelle: </w:t>
      </w:r>
      <w:r>
        <w:t>https://mcp.opencaselaw.ch/entscheid/vd_gerichte_PE25.011581</w:t>
      </w:r>
    </w:p>
    <w:p>
      <w:r>
        <w:t>FR: VD_GERICHTE PE25.011581 du 10 septembre 2025</w:t>
      </w:r>
    </w:p>
    <w:p>
      <w:r>
        <w:t>IT: VD_GERICHTE PE25.011581 del 10 settembre 2025</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 Parein-Reymond, Petit commentaire, Code de procédure pénale, 3e éd. Bâle 2025, n. 12 ad art. 393 CPP ; Keller, in: Donatsch/Hansjakob/Lieber [éd.], Kommentar zur Schweizerischen Strafprozessordnung, 3e éd. 2020, n. 16 ad art. 393 CPP ; CREP 4 juillet 2024/503 consid. 1.1.1 ; CREP 2 mai 2024/335 consid. 1.1). Par souci d’économie, l'art. 394 let. b CPP déroge toutefois à ce principe (Moreillon/ Parein-Reymond, op. cit., n. 7 ad art. 394 CPP et les références citées), en disposant que le recours est irrecevable lorsque le Ministère public ou l'autorité pénale compétente en matière de contraventions rejette une réquisition de preuves qui peut être réitérée sans préjudice juridique devant le tribunal de première instance. La notion de « préjudice juridique » au sens de l’art. 394 let. b CPP ne se différencie pas du « préjudice irréparable » de l’art. 93 al. 1 let. a LTF (loi sur le Tribunal fédéral du 17 juin 2005 ; RS 173.110 ; Moreillon/Parein-Reymond, op. cit., n. 9 ad art. 394 CPP).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(ATF 150 IV 103 consid. 1.2.1 ; ATF 141 III 80 consid. 1.2 ; ATF 136 IV 92 consid. 4.1 ; TF 7B_586/2024 du 18 juillet 2024 consid. 1). Cette règle comporte toutefois des exceptions. Il en va notamment ainsi lorsque le refus d'instruire porte sur des moyens de preuve qui risquent de disparaître et qui visent des faits décisifs non encore élucidés, ou encore quand la sauvegarde de secrets est en jeu (ATF</w:t>
      </w:r>
    </w:p>
    <w:p>
      <w:r>
        <w:t>- 5 - 150 IV 103 consid. 1.2.1 ; TF 7B_250/2024 du 30 avril 2024 consid. 1.3 et les arrêts cités). Le refus d'ordonner une expertise complémentaire ne cause en règle générale aucun dommage irréparable puisqu'une telle requête peut être renouvelée à l'ouverture des débats (cf. art. 339 al. 2 CPP) et qu'un nouveau refus peut être contesté dans le cadre d'un appel contre le jugement au fond (TF 7B_586/2024 précité ; TF 1B_424/2014 du 23 février 2015 consid. 2.1 ; TF 1B_92/2013 du 7 mars 2013 consid. 2.4). Il incombe à la partie recourante d'alléguer les faits propres à démontrer l'existence d'un préjudice irréparable lorsque celui-ci n'est pas d'emblée évident (ATF 148 IV 155 consid. 1.1 ; ATF 141 IV 284 consid. 2.3 ; TF 7B_586/2024 précité).</w:t>
      </w:r>
    </w:p>
    <w:p>
      <w:r>
        <w:rPr>
          <w:b/>
        </w:rPr>
        <w:t>E. 2</w:t>
      </w:r>
    </w:p>
    <w:p>
      <w:r>
        <w:t>Aux termes de l’art. 20 CP (Code pénal suisse du 21 décembre 1937 ; RS 311.0),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6B_608/2024 du 17 juillet 2025 consid. 2.1.2 et les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w:t>
      </w:r>
    </w:p>
    <w:p>
      <w:r>
        <w:t>- 6 - mental (ATF 116 IV 273 consid. 4a ; TF 7B_123/2025 du 25 août 2025 consid. 5.2 ; TF 6B_1013/2024 du 8 juillet 2025 consid. 1.1).</w:t>
      </w:r>
    </w:p>
    <w:p>
      <w:r>
        <w:rPr>
          <w:b/>
        </w:rPr>
        <w:t>E. 3</w:t>
      </w:r>
    </w:p>
    <w:p>
      <w:r>
        <w:t>Le recourant fait valoir qu’il présenterait, au vu du rapport de l’Unité de Soins aux Migrants, une addiction à la prégabaline (Lyrica), médicament utilisé dans le traitement de ses troubles anxieux. Il souffrirait en outre d’une dépendance à l’alcool et aux drogues, notamment au haschisch. Il évoque enfin des « problèmes psychiatriques ». Selon lui, il y aurait lieu de mettre en œuvre une expertise psychiatrique afin de déterminer sa responsabilité pénale, dès lors qu’il aurait été, au moment des faits, dans un « état second à cause de ses problèmes ». En l’espèce, le recourant se borne à invoquer de manière générale son état de santé, sa consommation d’alcool et de drogues ainsi que des « problèmes psychiatriques », sans indiquer en quoi le refus d’ordonner une expertise psychiatrique l’exposerait à un préjudice juridique irréparable. Il ne démontre pas, ni même ne soutient, que la mesure d’instruction sollicitée porterait sur un moyen de preuve susceptible de disparaître, en particulier qu’il s’imposerait de procéder à une expertise psychiatrique dans les meilleurs délais, au risque de voir compromise l’évaluation de son état au moment des faits. Il n’allègue pas davantage que les troubles et dépendances qu’il invoque pourraient l’empêcher de répondre ultérieurement aux questions d’un expert. A cela s’ajoute que le rapport de l’Unité de Soins aux Migrants ne fait état d’aucun trouble psychique d’une gravité telle qu’une expertise immédiate s’imposerait. Dans ces conditions, aucun préjudice juridique irréparable au sens de l’art. 394 let. b CPP ne peut être retenu, la requête d’expertise pouvant être renouvelée, si le recourant l’estime nécessaire, lors de l’ouverture des débats de première instance.</w:t>
      </w:r>
    </w:p>
    <w:p>
      <w:r>
        <w:rPr>
          <w:b/>
        </w:rPr>
        <w:t>E. 4</w:t>
      </w:r>
    </w:p>
    <w:p>
      <w:r>
        <w:t>En définitive, le recours doit être déclaré irrecevable, sans échange d’écritures (art. 390 al. 2 CPP). Compte tenu de la nature de l’affaire et de l’acte de recours, l’indemnité allouée à Me Loïc Fässler, défenseur d’office de G.________,</w:t>
      </w:r>
    </w:p>
    <w:p>
      <w:r>
        <w:t>- 7 - sera fixée à 270 fr., correspondant à une activité nécessaire d’avocat de 1h30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5 fr. 40, plus la TVA au taux de 8,1 %, par 22 fr. 30, soit à 298 fr. au total en chiffres arrondis. Vu le sort du recours, les frais de la procédure, constitués en l’espèce de l’émolument d'arrêt, par 770 fr. (art. 20 al. 1 TFIP), et des frais imputables à la défense d’office (art. 422 al. 1 et 2 let. a CPP), par 397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irrecevable. II. L’indemnité allouée à Me Loïc Fässler, défenseur d’office de G.________, est fixée à 298 fr. (deux cent nonante-huit francs). III. Les frais d’arrêt, par 770 fr. (sept cent septante francs), ainsi que l'indemnité allouée à Me Loïc Fässler, par 298 fr. (deux cent nonante-huit francs), sont mis à la charge de G.________. IV. Le remboursement à l’Etat de l’indemnité allouée au chiffre II ci-dessus ne sera exigible que pour autant que la situation financière de G.________ le permette.</w:t>
      </w:r>
    </w:p>
    <w:p>
      <w:r>
        <w:t>- 8 - V. L’arrêt est exécutoire. Le président : Le greffier : Du Le présent arrêt, dont la rédaction a été approuvée à huis clos, est notifié, par l'envoi d'une copie complète, à : - Me Loïc Fässler, avocat (pour G.________), - Ministère public central, et communiqué à : - M. le Procureur de l’arrondissement de Lausanne, - M. O.________, - M. H.________, - M. L.________, - M. [...],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