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PE25.010067 vom 12. November 2025</w:t>
      </w:r>
    </w:p>
    <w:p>
      <w:r>
        <w:t>VD Tribunal cantonal, 2025-11-12, FR</w:t>
      </w:r>
    </w:p>
    <w:p>
      <w:r>
        <w:rPr>
          <w:b/>
        </w:rPr>
        <w:t xml:space="preserve">Quelle: </w:t>
      </w:r>
      <w:r>
        <w:t>https://mcp.opencaselaw.ch/entscheid/vd_gerichte_PE25.010067</w:t>
      </w:r>
    </w:p>
    <w:p>
      <w:r>
        <w:t>FR: VD_GERICHTE PE25.010067 du 12 novembre 2025</w:t>
      </w:r>
    </w:p>
    <w:p>
      <w:r>
        <w:t>IT: VD_GERICHTE PE25.010067 del 12 novembre 2025</w:t>
      </w:r>
    </w:p>
    <w:p>
      <w:pPr>
        <w:pStyle w:val="Heading2"/>
      </w:pPr>
      <w:r>
        <w:t>Erwägungen</w:t>
      </w:r>
    </w:p>
    <w:p>
      <w:r>
        <w:rPr>
          <w:b/>
        </w:rPr>
        <w:t>E. 3.1</w:t>
      </w:r>
    </w:p>
    <w:p>
      <w:r>
        <w:t>Invoquant une violation des art. 310 CPP en lien avec les art. 173, 174, 180, 181 et 303 CP, le recourant reproche au Ministère public d’avoir refusé d’entrer en matière sur sa plainte. Sous l’angle des infractions de diffamation, de calomnie et de dénonciation calomnieuse, il fait valoir que, comme cela ressort du préavis de confiscation de la Police cantonale du 20 mars 2020, C.________ l’a dénoncé auprès de cette autorité pour des faits graves, à savoir qu’il « envisagerait l’acquisition d’autres armes à feu automatiques, dans l’intention de constituer un arsenal de guerre qu’il envisagerait d’utiliser contre son ex-femme et le nouveau compagnon de celle-ci », tout en indiquant qu’il présentait un état psychologique instable et souffrait d’une forte dépendance à l’alcool. Ces affirmations, adressées à une autorité – soit 12J010</w:t>
      </w:r>
    </w:p>
    <w:p>
      <w:r>
        <w:t>- 7 - un tiers – portaient indubitablement atteinte à son honneur. Dès lors que C.________ avait vécu avec lui, il ne pouvait ignorer la fausseté de ses dires. Sous l’angle des infractions de menaces et de contrainte, le recourant argue qu’en indiquant qu’il déposerait une plainte pénale s’il ne lui restituait pas ses armes, C.________ avait pour objectif de l’alarmer – ce d’autant plus qu’il le savait actif dans le domaine de la sécurité événementielle et donc professionnellement dépendant d’un casier judiciaire vierge – respectivement d’exercer un moyen de pression à son encontre.</w:t>
      </w:r>
    </w:p>
    <w:p>
      <w:r>
        <w:rPr>
          <w:b/>
        </w:rPr>
        <w:t>E. 3.2.1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(a) ou qu’il existe des empêchements de procéder (let. b). L'art. 310 al. 1 let. a CPP doit être appliqué dans le respect de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TF 7B_774/2023 du 15 octobre 2025 consid. 2.2.1 et les réf. cit.).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12J010</w:t>
      </w:r>
    </w:p>
    <w:p>
      <w:r>
        <w:t>- 8 -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3.2.2</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12J010</w:t>
      </w:r>
    </w:p>
    <w:p>
      <w:r>
        <w:t>- 9 -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 cit.).</w:t>
      </w:r>
    </w:p>
    <w:p>
      <w:r>
        <w:rPr>
          <w:b/>
        </w:rPr>
        <w:t>E. 3.2.3</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w:t>
      </w:r>
    </w:p>
    <w:p>
      <w:r>
        <w:rPr>
          <w:b/>
        </w:rPr>
        <w:t>E. 3.2.4</w:t>
      </w:r>
    </w:p>
    <w:p>
      <w:r>
        <w:t>Selon l'art. 303 al.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En tant que lex specialis, l’art. 303 CP, qui sanctionne la dénonciation calomnieuse, l’emporte sur l’art. 173 CP (Rieben/Mazou, in : Macaluso/Moreillon/Queloz [éd.], Commentaire romand, Code pénal II, 2e éd. 2025, n. 56 ad art. 173 CP et les réf. cit.). De plus, selon le Tribunal 12J010</w:t>
      </w:r>
    </w:p>
    <w:p>
      <w:r>
        <w:t>- 10 - fédéral, une condamnation pour dénonciation calomnieuse réprime en même temps la calomnie (idem, n. 25 ad art. 174 CP et les réf. cit.).</w:t>
      </w:r>
    </w:p>
    <w:p>
      <w:r>
        <w:rPr>
          <w:b/>
        </w:rPr>
        <w:t>E. 3.2.5</w:t>
      </w:r>
    </w:p>
    <w:p>
      <w:r>
        <w:t>Selon l'art. 180 al. 1 CP (Code pénal suisse du 21 décembre 1937 ; RS 311.0), se rend coupable de menaces quiconque alarme ou effraye une personne par une menace grave. Le fait de menacer quelqu’un de déposer contre lui une plainte pénale peut réaliser les éléments constitutifs de l’infraction de menaces, si la plainte n’est pas fondée (Stoudmann, Commentaire romand, Code pénal II, n. 15 ad art. 180 CP). Encore faut-il que la victime soit effectivement alarmée ou effrayée, c'est-à-dire qu'elle craigne que le préjudice annoncé se réalise ; cela implique, d'une part, qu'elle le considère comme possible et, d'autre part, qu'il soit d'une telle gravité qu'il suscite de la peur (ATF 135 IV 152 consid. 2.3.2 ; ATF 119 IV 1 consid. 5a ; TF 7B_1400/2024 précité consid. 4.2 et les réf. cit.).</w:t>
      </w:r>
    </w:p>
    <w:p>
      <w:r>
        <w:rPr>
          <w:b/>
        </w:rPr>
        <w:t>E. 3.2.6</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12J010</w:t>
      </w:r>
    </w:p>
    <w:p>
      <w:r>
        <w:t>- 11 -</w:t>
      </w:r>
    </w:p>
    <w:p>
      <w:r>
        <w:rPr>
          <w:b/>
        </w:rPr>
        <w:t>E. 3.3</w:t>
      </w:r>
    </w:p>
    <w:p>
      <w:r>
        <w:t>En l’espèce, s’agissant des faits potentiellement constitutifs de dénonciation calomnieuse, de diffamation ou de calomnie, il ressort du préavis de confiscation notifié le 20 mars 2025 au recourant par le chef de la Police administrative que, le 3 février 2025, un tiers – a priori C.________ – a en substance signalé à la police que B.________ l’empêchait désormais pour des raisons inconnues d’accéder au coffre contenant leurs armes à feu, que l’état psychique du recourant était « en dégradation » notamment en raison de pensées suicidaires, que ce dernier était psychologiquement instable, qu’il souffrait d’une forte dépendance à l’alcool, qu’il traverserait une période particulièrement sombre de sa vie et qu’il envisagerait l’acquisition d’autres armes à feu automatiques dans l’intention de se constituer un « arsenal de guerre » qu’il envisagerait d’utiliser contre son ex-femme et le nouveau compagnon de celle-ci. L’informateur a également indiqué à la police que son « ami » semblait pleinement capable de passer à l’acte et de mettre en œuvre ses menaces. Il a dit souhaiter attirer l’attention de la police sur le comportement préoccupant de B.________, tout en étant conscient que le différend qui les opposait relevait d’un contexte civil. Lors de la saisie des armes, le 11 février 2025, B.________ s’était volontairement présenté à l’hôpital de ***, en compagnie de policiers, afin d’effectuer un bilan psychologique. Le rapport de « fin de traitement ambulatoire » du 6 mars 2025 (P. 5/7), délivré par un chef de clinique adjoint et une médecin assistante de la Fondation de Nant, atteste que B.________ a été reçu les 12 et 14 février 2025 par le Service Soins Psychiatriques, Accueil, Urgence, Liaison de cette fondation. Il ressort notamment de ce rapport qu’à l’arrivée de B.________ dans le Service, la gendarmerie a indiqué qu’elle avait confisqué les armes de ce dernier, qu’il ne semblait pas hétéro-agressif et qu’il avait besoin d’une évaluation psychiatrique afin de pouvoir récupérer ses armes. Aucun signe d’imprégnation aux toxiques ni de symptômes de sevrage n’avait été constaté. Le patient s’était montré calme et collaborant, présentait une thymie neutre et aucune anxiété n’avait été objectivée ni éprouvée. Il avait nié avoir des idées suicidaires et ne présentait pas d’aboulie, d’anhédonie, d’asthénie ou de symptômes psychotiques florides. Sa prise en charge au 12J010</w:t>
      </w:r>
    </w:p>
    <w:p>
      <w:r>
        <w:t>- 12 - sein des urgences psychiatriques avait pris fin après qu’il eut confirmé lors d’un deuxième entretien, qui avait eu lieu à la demande des praticiens, qu’il ne souffrait d’aucune détresse psychique et qu’il eut nié toutes idées suicidaires ou potentiel de risque hétéro-agressif. Par ailleurs, il ressort des différents échanges écrits entre les parties (P. 5/2, P. 5/3 et P. 5/4) qu’un important litige, lié à la fin de leur cohabitation, les divise. Enfin, s’il apparait que le 3 décembre 2017 la compagne de l’époque du recourant a avisé la police que ce dernier avait « pété un câble » et cassait tout dans la maison après avoir appris que cette dernière avait une liaison avec un autre homme et que, le 25 juin 2023, l’ex-épouse du recourant avait avisé la police qu’il lui écrivait des messages étranges dans lesquels il disait qu’avec de la chance il rejoindrait bientôt Odin, elles ont, chacune de leur côté, attesté par écrit qu’il s’agissait d’événements isolés et que le recourant était quelqu’un de stable et d’équilibré, qui n’était pas dangereux (P. 8/2/7, p. 3 et 4). Au vu de ces éléments de fait, la Procureure ne pouvait pas exclure d’emblée l’hypothèse dans laquelle les infractions dénoncées auraient été commises. C.________ s’est adressé à la police, soit à une autorité de poursuite pénale (art. 12 let. a CPP) qui a l’obligation de dénoncer aux autorités compétentes toutes les infractions qu’elle a constatées dans l’exercice de ses fonctions ou qui lui a été annoncée si elle n’est pas elle-même compétente pour les poursuivre (art. 302 al. 1 CPP). La dénonciation a donc bien été adressée à une autorité au sens de l’art. 303 ch. 1 CP. Quand C.________ a indiqué que le recourant rassemblait des armes en vue de s’en prendre à son ex-compagne ou au compagnon de celle-ci, il a clairement laissé entendre qu’il se serait rendu coupable d’une infraction, notamment, comme le plaide le recourant, le crime réprimé à l’art. 260bis CP. Il va au demeurant sans dire que les allégations de fait que C.________ a fait parvenir à la police étaient de nature à porter atteinte à l’honneur pénalement protégé du recourant, ne serait-ce que parce qu’elles faisaient 12J010</w:t>
      </w:r>
    </w:p>
    <w:p>
      <w:r>
        <w:t>- 13 - naître le soupçon que celui-ci avait adopté un comportement réprouvé par le droit pénal. La Procureure ne pouvait pas non plus, à réception de la plainte, constater que la dénonciation de C.________ était conforme à la vérité. Il y avait donc matière à ouvrir une instruction pénale pour des faits potentiellement constitutifs de diffamation, de calomnie, voire de dénonciation calomnieuse. S’agissant des faits prétendument constitutifs de menaces et de contrainte, la Procureure ne pouvait pas non plus exclure d’emblée l’hypothèse selon laquelle ces infractions auraient été commises ou tentées, sans instruire la question de savoir si la plainte que C.________ menaçait de déposer contre le recourant, respectivement la dénonciation faite à son encontre, était fondée et en rapport avec la prestation demandée, ce qui impliquait de chercher à savoir si B.________ refusait sans droit de remettre à C.________ les armes qui étaient les siennes. Certes, on pourrait se demander si la menace en cause pouvait objectivement atteindre un degré de gravité propre à alarmer ou à effrayer la victime, ce qui reste douteux si l’on considère la réponse que le recourant a faite le 3 février 2025, dans laquelle il indiquait à son interlocuteur qu’il était libre de déposer une plainte, tout en l’invitant à solliciter sa mémoire concernant le lieu où étaient gardées les clés du coffre contenant lesdites armes, et précisant que, de son côté, il n’avait rien modifié (P. 5/2). En l’état, le principe « in dubio pro duriore » commandait toutefois l’ouverture d’une instruction pénale pour ces faits également. Les éléments qui précèdent constituent un motif supplémentaire d’annulation de l’ordonnance querellée.</w:t>
      </w:r>
    </w:p>
    <w:p>
      <w:r>
        <w:rPr>
          <w:b/>
        </w:rPr>
        <w:t>E. 4</w:t>
      </w:r>
    </w:p>
    <w:p>
      <w:r>
        <w:t>En définitive, le recours doit être admis, l’ordonnance querellée annulée et le dossier de la cause renvoyé au Ministère public pour qu’il procède dans le sens des considérants. Les frais de procédure, constitués en l’espèce du seul émolument d’arrêt, par 1’540 fr. (art. 20 al. 1 TFIP [tarif des frais de 12J010</w:t>
      </w:r>
    </w:p>
    <w:p>
      <w:r>
        <w:t>- 14 - procédure et indemnités en matière pénale du 28 septembre 2010 ; BLV 312.03.1]), seront laissés à la charge de l’Etat (art. 428 al. 4 CPP). Le recourant, qui a procédé avec l'assistance d'un conseil de choix et qui a obtenu gain de cause, a droit, de la part de l'Etat (ATF 138 IV 248 consid. 5.3), à une indemnité pour les dépenses occasionnées par la procédure de recours (art. 436 al. 3 CPP). En l’espèce, la conclusion du recourant tendant à ce qu’une indemnité lui soit allouée à ce titre n’est pas chiffrée. Son conseil n’a pas produit de liste des opérations, se contentant de demander qu’un délai lui soit imparti pour produire une telle liste en vue de l’allocation d’une indemnité au titre de l’art. 433 CPP. Or, la Chambre de céans n’est pas tenue d’interpeller l’avocat pour qu’il produise sa liste des opérations ou de lui octroyer un délai pour ce faire ni, en l’absence d’une telle liste, de motiver son estimation de la durée raisonnable de son activité (voir à cet égard TPF BB.2019.183 du 7 novembre 2019 ad CREP 20 août 2019/645 et TPF BB.2019.46 du 25 mai 2020, JdT 2020 IV 137 ; CREP 15 novembre 2024/834 consid. 3.3 ; CREP 24 juin 2024/462 consid. 4). Il appartient à l’avocat diligent de déposer sa liste d’opérations simultanément au recours. Il peut se réserver de la compléter pour l’activité future déployée en cours de procédure. Cela dit, il n’y a en principe pas d’instruction à la Chambre de céans en dehors des échanges de mémoires. En l’occurrence, le Ministère public n’ayant pas déposé de déterminations dans le délai qui lui était imparti pour ce faire, le recourant ne pouvait s’attendre à d’autres mesures d’instruction. Dès lors, compte tenu de la nature de l'affaire et de l'acte de recours déposé, l’indemnité sera fixée à 900 fr., correspondant à 3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8,1 % sur le tout, par 74 fr. 35, soit à 993 fr. au total en chiffres arrondis. 12J010</w:t>
      </w:r>
    </w:p>
    <w:p>
      <w:r>
        <w:t>- 15 - Par ces motifs, la Chambre des recours pénale prononce : I. Le recours est admis. II. L’ordonnance du 28 avril 2025 est annulée. III. Le dossier de la cause est renvoyé au Ministère public de l’arrondissement de l’Est vaudois pour qu’il procède dans le sens des considérants. IV. Les frais d’arrêt, par 1’540 fr. (mille cinq cent quarante francs), sont laissés à la charge de l’Etat. V. L’avance de frais de 770 fr. (sept cent septante francs) versée par B.________ à titre de sûretés lui est restituée. VI. Une indemnité de 993 fr. (neuf cent nonante-trois francs) est allouée à B.________ pour les dépenses obligatoires occasionnées par la procédure de recours, à la charge de l’Etat. VII. L’arrêt est exécutoire. Le président : La greffière : Du Le présent arrêt, dont la rédaction a été approuvée à huis clos, est notifié, par l'envoi d'une copie complète, à : - Me Florian Girardoz, avocat (pour B.________), - Ministère public central, et communiqué à : - Mme la Procureure de l’arrondissement de l’Est vaudois, par l’envoi de photocopies. 12J010</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