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PE25.010049 vom 8. September 2025</w:t>
      </w:r>
    </w:p>
    <w:p>
      <w:r>
        <w:t>VD Tribunal cantonal, 2025-09-08, FR</w:t>
      </w:r>
    </w:p>
    <w:p>
      <w:r>
        <w:rPr>
          <w:b/>
        </w:rPr>
        <w:t xml:space="preserve">Quelle: </w:t>
      </w:r>
      <w:r>
        <w:t>https://mcp.opencaselaw.ch/entscheid/vd_gerichte_PE25.010049</w:t>
      </w:r>
    </w:p>
    <w:p>
      <w:r>
        <w:t>FR: VD_GERICHTE PE25.010049 du 8 septembre 2025</w:t>
      </w:r>
    </w:p>
    <w:p>
      <w:r>
        <w:t>IT: VD_GERICHTE PE25.010049 del 8 settembre 2025</w:t>
      </w:r>
    </w:p>
    <w:p>
      <w:pPr>
        <w:pStyle w:val="Heading2"/>
      </w:pPr>
      <w:r>
        <w:t>Erwägungen</w:t>
      </w:r>
    </w:p>
    <w:p>
      <w:r>
        <w:rPr>
          <w:b/>
        </w:rPr>
        <w:t>E. 1.1</w:t>
      </w:r>
    </w:p>
    <w:p>
      <w:r>
        <w:t>Les parties peuvent attaquer une ordonnance de non-entrée en matière rendue par le Ministère public en application de l’art. 310 CPP</w:t>
      </w:r>
    </w:p>
    <w:p>
      <w:r>
        <w:t>- 5 -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d'organisation judiciaire du 12 décembre 1979 ; BLV 173.01]).</w:t>
      </w:r>
    </w:p>
    <w:p>
      <w:r>
        <w:rPr>
          <w:b/>
        </w:rPr>
        <w:t>E. 1.2</w:t>
      </w:r>
    </w:p>
    <w:p>
      <w:r>
        <w:t>En l’espèce, l’ordonnance attaquée, du 15 mai 2025, n’a pas été envoyée par courrier recommandé, mais sous pli simple, de sorte que la date de la notification ne peut être établie. Il s’ensuit qu’il doit être considéré, en l’absence d’élément contraire, que l’acte de recours du 29 mai 2025 et son complément du 2 juin suivant ont été déposés en temps utile (ATF 142 IV 125 consid. 4.3 ; cf. CREP 15 août 2022/608 consid. 1.2).</w:t>
      </w:r>
    </w:p>
    <w:p>
      <w:r>
        <w:rPr>
          <w:b/>
        </w:rPr>
        <w:t>E. 2.1</w:t>
      </w:r>
    </w:p>
    <w:p>
      <w:r>
        <w:t>Le recourant se plaint d’une violation du principe de l’instruction (art. 6 CPP). Selon lui, refuser d’entrer en matière sans aucun acte d’instruction – alors que les faits allégués sont graves et détaillés – constituerait une violation flagrante de ce principe. Il reproche encore au Ministère public d’avoir écarté ses dénonciations sans consulter les pièces essentielles ni convoquer les protagonistes, rappelant qu’il faisait grief aux autorités fiscales d’avoir commis non pas une simple erreur de calcul, mais des actes intentionnels et contraires au droit dans l’exercice de leur fonction (art. 312 CP). Le recourant reproche encore à la Procureure de ne pas l’avoir invité à compléter sa plainte si elle estimait qu’elle était incomplète. Il soutient que le comportement des fonctionnaires avait pour but de favoriser au-delà du raisonnable une corporation de droit public, l’Etat de Vaud. Les décisions de taxation prises à son encontre, nonobstant le fait qu’il n’ait pas recouru contre celles-ci, auraient pour but de permettre à l’Etat de Vaud d’obtenir des titres de mainlevées définitives incluant des montants d’impôts totalement disproportionnés par rapport à ses revenus réels, rappelant qu’il avait ainsi été confronté à des décisions</w:t>
      </w:r>
    </w:p>
    <w:p>
      <w:r>
        <w:t>- 6 - de cotisation AVS dépourvues de fondement autres que ceux liés à des taxations disproportionnées. Au vu de ces éléments, le Ministère public aurait dû a minima inclure dans le dossier pénal le « dossier pénal principal » fondant les disproportions alléguées dans son écriture du 1er mai 2025. S’agissant des déclarations fiscales pour les années 2012 et 2013, il indique qu’elles ne sont pas signées et que s’il avait eu connaissance du revenu d’indépendant fixé dans celles-ci, il serait immédiatement intervenu auprès de l’autorité. Il considère l’utilisation abusive de ces déclarations fiscales comme gravement attentatoire à ses intérêts, celle-ci posant ainsi des soupçons d’abus d’autorité au sens de l’art. 312 CP.</w:t>
      </w:r>
    </w:p>
    <w:p>
      <w:r>
        <w:rPr>
          <w:b/>
        </w:rPr>
        <w:t>E. 2.2.1</w:t>
      </w:r>
    </w:p>
    <w:p>
      <w:r>
        <w:t>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w:t>
      </w:r>
    </w:p>
    <w:p>
      <w:r>
        <w:t>- 7 - doit mettre en exergue les failles qu’il croit déceler dans le raisonnement de l’autorité inférieure, le renvoi à d’autres écritures n’étant pas suffisant (cf. TF 7B_587/2023 précité ; CREP 17 février 2025/110 consid. 1.4 et les références citées).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du 14 mars 2023 consid. 1.1).</w:t>
      </w:r>
    </w:p>
    <w:p>
      <w:r>
        <w:rPr>
          <w:b/>
        </w:rPr>
        <w:t>E. 2.2.2.1</w:t>
      </w:r>
    </w:p>
    <w:p>
      <w:r>
        <w:t>Conformément à l'art. 310 al. 1 let. a CPP, le Ministère public rend immédiatement – c'est-à-dire sans qu'une instruction soit ouverte (art. 309 al. 1 et 4 CPP ; ATF 144 IV 81 consid. 2.3.3 ; Grodecki/Cornu, in : Commentaire romand, Code de procédure pénale suisse, 2e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w:t>
      </w:r>
    </w:p>
    <w:p>
      <w:r>
        <w:t>- 8 -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w:t>
      </w:r>
    </w:p>
    <w:p>
      <w:r>
        <w:rPr>
          <w:b/>
        </w:rPr>
        <w:t>E. 2.2.2.2</w:t>
      </w:r>
    </w:p>
    <w:p>
      <w:r>
        <w:t>Une ordonnance de non-entrée en matière n’emporte qu’une force de chose jugée relative puisqu’elle ne protège pas le prévenu contre une reprise de la procédure préliminaire ; le principe ne bis in idem n’est par conséquent pas applicable. Les conditions pour la reprise de la procédure posées à l’art. 323 al. 1 CPP s’appliquent également à la procédure close par une ordonnance de non-entrée en matière, mais de manière moins sévère qu’en cas de reprise après une ordonnance de classement (Moreillon/Parein-Reymond, Petit Commentaire, Code de procédure pénale, 3e éd., Bâle 2025, n. 22 et 25 ad art. 310 CPP).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w:t>
      </w:r>
    </w:p>
    <w:p>
      <w:r>
        <w:t>- 9 - août 2021 consid. 7.2.2 ; TF 6B_1007/2020 du 13 avril 2021 consid. 2.3 ; TF 6B_290/2020 du 17 juillet 2020 consid. 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consid. 7.2.2 ; TF 6B_1014/2020 du 10 février 2021 consid. 2.1.2 ; TF 6B_290/2020 précité consid. 7.2.2).</w:t>
      </w:r>
    </w:p>
    <w:p>
      <w:r>
        <w:rPr>
          <w:b/>
        </w:rPr>
        <w:t>E. 2.2.3</w:t>
      </w:r>
    </w:p>
    <w:p>
      <w:r>
        <w:t>Aux termes de l'art. 110 al. 4 CPP, la direction de la procédure peut retourner à l'expéditeur une requête illisible, incompréhensible, inconvenante ou prolixe, en lui impartissant un délai pour la corriger et en l'avertissant qu'à défaut, la requête ne sera pas prise en considération.</w:t>
      </w:r>
    </w:p>
    <w:p>
      <w:r>
        <w:rPr>
          <w:b/>
        </w:rPr>
        <w:t>E. 2.2.4</w:t>
      </w:r>
    </w:p>
    <w:p>
      <w:r>
        <w:t>Aux termes de l'art. 312 CP, les membres d'une autorité et les fonctionnaires qui, dans le dessein de se procurer ou de procurer à un tiers un avantage illicite, ou dans le dessein de nuire à autrui, auront abusé des pouvoirs de leur charge, se rendent coupables d’abus d’autorité.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précité consid. 1a/aa et b et les références citées ; TF 6B_518/2021 du 8 juin 2022 consid. 1.1). L’abus de pouvoir ne peut en principe pas être commis par omission (art. 11 CP), puisque l’infraction suppose l’exercice d’un acte de</w:t>
      </w:r>
    </w:p>
    <w:p>
      <w:r>
        <w:t>- 10 - puissance publique (Dupuis et alii [éd.], Code pénal, Petit commentaire, 2e éd. 2017, n. 20 ad art. 312 CP). L’exercice de la puissance publique vise deux hypothèses : l’acte de disposition de droit public (Verfügung) et l’acte matériel de contrainte (Zwang) (TPF BB.2006.124 du 22 janvier 2007 consid. 2.1 ; Dupuis et alii [éd.], op. cit., n. 10 ad art. 312 CP et les références citées). La simple violation des devoirs de service, même sanctionnée par l’autorité supérieure ou de recours, ne suffit pas pour considérer qu’il existe un abus ; il doit s’agir d’une violation insoutenable des règles applicables (Dupuis et alii [éd.], op. cit., n. 19 ad art. 312 CP et la référence citée).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précité et les références citées). Il faut admettre que l’auteur nuit à autrui dès qu’il utilise des moyens excessifs, même s’il poursuit un but légitime. Le motif pour lequel l’auteur agit est ainsi sans pertinence sur l’intention, mais a trait à l’examen de la culpabilité (TF 6B_1012/2017 du 23 mars 2018 consid. 1 ; TF 6B_923/2015 du 24 mai 2016 consid. 2.2 et les références citées).</w:t>
      </w:r>
    </w:p>
    <w:p>
      <w:r>
        <w:rPr>
          <w:b/>
        </w:rPr>
        <w:t>E. 2.3</w:t>
      </w:r>
    </w:p>
    <w:p>
      <w:r>
        <w:t>En l’espèce, on ne constate aucune violation de la maxime de l’instruction. En effet, le Ministère public est parfaitement fondé à rendre une ordonnance de non-entrée en matière sur la base de la seule plainte et de ses annexes s’il estime d’emblée que les éléments constitutifs d'une infraction ou les conditions d'ouverture de l'action pénale ne sont manifestement pas réunis. A toute fins utiles, on rappellera que le Ministère public n’est pas tenu d’informer le plaignant ou de lui fixer un délai pour présenter d’éventuelles réquisitions de preuve avant de rendre une telle décision. Enfin, la Procureure a bien motivé son ordonnance et a précisément expliqué les raisons pour lesquelles elle avait décidé de ne pas entrer en matière sur la plainte du 1er mai 2025 (cf. let. B supra).</w:t>
      </w:r>
    </w:p>
    <w:p>
      <w:r>
        <w:t>- 11 - Ensuite, contrairement à ce que soutient le recourant, l’art. 110 CPP prévoit qu’un acte est retourné à l’expéditeur par la direction de la procédure lorsqu’il est prolixe, inconvenant, illisible ou incompréhensible ; or en l’espèce, la plainte pénale déposée par Z.________ n’est rien de tout cela, elle est simplement mal motivée, et pour cause, on ne voit pas que cette procédure se situe ailleurs que dans un pur litige fiscal. Quant à l’art. 385 al. 2 CPP, il ne s’applique qu’au recours et dans la mesure rappelée ci-dessus (cf. consid. 2.2.1 in fine supra). S’agissant de l’arrêt du Tribunal fédéral (ATF 138 I 225) mentionné par le recourant, il ne porte pas sur cette question. Pour le reste, on déduit des écritures du recourant qu’il reproche au Ministère public de ne pas avoir produit le dossier de l’affaire pénale PE24.008779 (« dossier pénal principal »), qui a été clôturé par une ordonnance de non-entrée en matière rendue le 23 avril 2024. Or il apparaît que cette ordonnance a été jointe au dossier de la présente cause par le Procureur. Ce document permet de constater que les griefs de la plainte pénale déposée le 2 avril 2025 sont en réalité les mêmes que ceux formulés dans sa plainte du 1er mai 2025, ce que le recourant ne nie pas puisqu’il indique ce qui suit dans cette deuxième plainte : « je tiens à préciser que je maintiens et peaufine ma plainte envers les institutions des impôts de [...] et à ce jour au vu de l’avancement de l’enquête où ils essaient de se renvoyer la faute l’un envers l’autre, je reste dans la mesure d’également déposer plainte à l’encontre de l’inspection Fiscale de [...] (…) », puis dans son courrier du 22 mai 2025 : « (…) sur l’avis de la Dame du Ministère public, j’ai refait une plainte à l’encontre de M. [...] de l’office des impôts (…) ». Ainsi, avec le Ministère public, force est de constater que la plainte du 1er mai 2025 concerne les mêmes faits que ceux déjà évoqués en 2024 et ne contient aucun élément nouveau qui pourrait conduire à une appréciation des faits différente de celle exposée dans l’ordonnance du 23 avril 2024. Au surplus, le recourant semble indiquer qu’il ne s’est pas opposé par les voies utiles aux décisions de taxation tant décriées (cf. P. 8 p. 5), ce qui paraît être confirmé par les montants qui apparaissent dans</w:t>
      </w:r>
    </w:p>
    <w:p>
      <w:r>
        <w:t>- 12 - les extraits de compte individuel AVS figurant au dossier. De toute manière, quand bien même il les aurait contestées et quand bien même il aurait obtenu gain de cause, cela ne rend pas encore vraisemblable l’existence d’une quelconque infraction pénale. Z.________ n’allègue aucun avantage illicite qu’un des employés de l’Office d’impôt du district de la [...] ou de la Division de l’inspection fiscale de [...] aurait cherché à se procurer ou à procurer à autrui. Quant au fait de lui nuire, il n’a apporté aucun élément en ce sens. S’agissant enfin des déclarations fiscales non signées produites par le recourant pour les années 2012 et 2013, on relèvera qu’elles proviennent du logiciel VaudTax et qu’il est notoire que les déclarations envoyées de manière informatique ne sont pas manuscritement signées. Cela étant dit, le recourant n’explique pas en quoi ces documents démontreraient que le raisonnement de la procureure serait erroné ou qu’ils commanderaient une autre décision, de sorte que le moyen est irrecevable (cf. consid. 2.2.1 supra). Ici encore, le litige est fiscal et ne relève pas du droit pénal.</w:t>
      </w:r>
    </w:p>
    <w:p>
      <w:r>
        <w:rPr>
          <w:b/>
        </w:rPr>
        <w:t>E. 3</w:t>
      </w:r>
    </w:p>
    <w:p>
      <w:r>
        <w:t>En définitive, le recours doit être rejeté, dans la mesure où il est recevable, sans échange d’écritures et l’ordonnance entreprise confirmée. Les frais de procédure, constitués du seul émolument d’arrêt, par 1'210 fr. (art. 20 al. 1 TFIP [tarif des frais de procédure et indemnités en matière pénale du 28 septembre 2010 ; BLV 312.03.1]), seront mis à la charge de Z.________ qui succombe (art. 428 al. 1 CPP). Le montant de 770 fr. versé par le recourant à titre de sûretés sera imputé sur ces frais (art. 383 al. 1 CPP ; art. 7 TFIP). Le solde dû par le recourant s’élève à 440 francs.</w:t>
      </w:r>
    </w:p>
    <w:p>
      <w:r>
        <w:t>- 13 - Par ces motifs, la Chambre des recours pénale prononce : I. Le recours est rejeté dans la mesure où il est recevable. II. L’ordonnance du 15 mai 2025 est confirmée. III. Les frais d’arrêt, par 1'210 fr. (mille deux cent dix francs), sont mis à la charge de Z.________. IV. Le montant de 770 fr. (sept cent septante francs) déjà versé Z.________ à titre de sûretés est imputé sur les frais mis à sa charge au chiffre III ci-dessus, le solde dû par celui-ci à l’Etat s’élevant à 440 fr. (quatre cent quarante francs). V. L’arrêt est exécutoire. Le président : La greffière : Du Le présent arrêt, dont la rédaction a été approuvée à huis clos, est notifié, par l'envoi d'une copie complète, à : - Me Stéphane Riand, avocat (pour Z.________), - Ministère public central, et communiqué à : - M. le Procureur de l’arrondissement du Nord vaudois,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